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color w:val="000000"/>
          <w:sz w:val="20"/>
          <w:szCs w:val="20"/>
        </w:rPr>
      </w:pPr>
      <w:bookmarkStart w:id="0" w:name="_Hlk82473550"/>
      <w:bookmarkEnd w:id="0"/>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rPr>
        <w:t>MODELO DE TERMO DE REFERÊNCIA – LEI 14.133/21</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t>SERVIÇOS SEM DEDICAÇÃO EXCLUSIVA DE MÃO DE OBRA – CONTRATAÇÃO DIRETA</w:t>
      </w:r>
    </w:p>
    <w:p>
      <w:pPr>
        <w:pStyle w:val="Normal"/>
        <w:spacing w:lineRule="auto" w:line="276" w:before="0" w:after="0"/>
        <w:jc w:val="center"/>
        <w:rPr>
          <w:rFonts w:ascii="Arial" w:hAnsi="Arial" w:cs="Arial"/>
          <w:b/>
          <w:b/>
          <w:bCs/>
          <w:i/>
          <w:i/>
          <w:color w:val="FF0000"/>
          <w:sz w:val="20"/>
          <w:szCs w:val="20"/>
        </w:rPr>
      </w:pPr>
      <w:r>
        <w:rPr>
          <w:rFonts w:cs="Arial" w:ascii="Arial" w:hAnsi="Arial"/>
          <w:b/>
          <w:bCs/>
          <w:iCs/>
          <w:color w:val="000000"/>
          <w:sz w:val="20"/>
          <w:szCs w:val="20"/>
        </w:rPr>
        <w:t xml:space="preserve">Processo Administrativo n. </w:t>
      </w:r>
      <w:r>
        <w:rPr>
          <w:rStyle w:val="Nfaseforte"/>
          <w:rFonts w:eastAsia="Arial" w:cs="Arial" w:ascii="Arial" w:hAnsi="Arial"/>
          <w:i w:val="false"/>
          <w:iCs w:val="false"/>
          <w:color w:val="000000"/>
          <w:sz w:val="20"/>
          <w:szCs w:val="20"/>
        </w:rPr>
        <w:t xml:space="preserve">62032.004727/2023-41 </w:t>
      </w:r>
    </w:p>
    <w:p>
      <w:pPr>
        <w:pStyle w:val="Normal"/>
        <w:rPr>
          <w:rFonts w:ascii="Arial" w:hAnsi="Arial" w:cs="Arial"/>
          <w:b/>
          <w:b/>
          <w:bCs/>
          <w:i/>
          <w:i/>
          <w:color w:val="FF0000"/>
          <w:sz w:val="20"/>
          <w:szCs w:val="20"/>
        </w:rPr>
      </w:pPr>
      <w:r>
        <w:rPr>
          <w:rFonts w:cs="Arial" w:ascii="Arial" w:hAnsi="Arial"/>
          <w:b/>
          <w:bCs/>
          <w:i/>
          <w:color w:val="FF0000"/>
          <w:sz w:val="20"/>
          <w:szCs w:val="20"/>
        </w:rPr>
      </w:r>
    </w:p>
    <w:p>
      <w:pPr>
        <w:pStyle w:val="Nivel1"/>
        <w:numPr>
          <w:ilvl w:val="0"/>
          <w:numId w:val="2"/>
        </w:numPr>
        <w:rPr>
          <w:sz w:val="20"/>
          <w:szCs w:val="20"/>
        </w:rPr>
      </w:pPr>
      <w:r>
        <w:rPr>
          <w:sz w:val="20"/>
          <w:szCs w:val="20"/>
        </w:rPr>
        <w:t>DAS CONDIÇÕES GERAIS DA CONTRATAÇÃO (art. 6º, XXIII, “a” e “i” da Lei n. 14.133/2021).</w:t>
      </w:r>
    </w:p>
    <w:p>
      <w:pPr>
        <w:pStyle w:val="ListParagraph"/>
        <w:spacing w:lineRule="auto" w:line="276" w:before="0" w:after="0"/>
        <w:ind w:left="716" w:hanging="0"/>
        <w:contextualSpacing/>
        <w:jc w:val="both"/>
        <w:rPr>
          <w:rFonts w:ascii="Arial" w:hAnsi="Arial" w:cs="Arial"/>
          <w:b/>
          <w:b/>
          <w:iCs/>
          <w:sz w:val="20"/>
          <w:szCs w:val="20"/>
        </w:rPr>
      </w:pPr>
      <w:r>
        <w:rPr>
          <w:rFonts w:cs="Arial" w:ascii="Arial" w:hAnsi="Arial"/>
          <w:b/>
          <w:iCs/>
          <w:sz w:val="20"/>
          <w:szCs w:val="20"/>
        </w:rPr>
      </w:r>
    </w:p>
    <w:p>
      <w:pPr>
        <w:pStyle w:val="ListParagraph"/>
        <w:numPr>
          <w:ilvl w:val="1"/>
          <w:numId w:val="14"/>
        </w:numPr>
        <w:spacing w:lineRule="auto" w:line="276" w:before="0" w:after="0"/>
        <w:contextualSpacing/>
        <w:jc w:val="both"/>
        <w:rPr>
          <w:rFonts w:ascii="Arial" w:hAnsi="Arial" w:cs="Arial"/>
          <w:b/>
          <w:b/>
          <w:iCs/>
          <w:sz w:val="20"/>
          <w:szCs w:val="20"/>
        </w:rPr>
      </w:pPr>
      <w:r>
        <w:rPr>
          <w:rFonts w:cs="Arial" w:ascii="Arial" w:hAnsi="Arial"/>
          <w:iCs/>
          <w:sz w:val="20"/>
          <w:szCs w:val="20"/>
        </w:rPr>
        <w:t>Contrataç</w:t>
      </w:r>
      <w:r>
        <w:rPr>
          <w:rFonts w:eastAsia="Calibri" w:cs="Arial" w:ascii="Arial" w:hAnsi="Arial" w:eastAsiaTheme="minorHAnsi"/>
          <w:iCs/>
          <w:color w:val="auto"/>
          <w:kern w:val="0"/>
          <w:sz w:val="20"/>
          <w:szCs w:val="20"/>
          <w:lang w:val="pt-BR" w:eastAsia="en-US" w:bidi="ar-SA"/>
        </w:rPr>
        <w:t>ão de serviço para fornecimento</w:t>
      </w:r>
      <w:r>
        <w:rPr>
          <w:rFonts w:cs="Arial" w:ascii="Arial" w:hAnsi="Arial"/>
          <w:iCs/>
          <w:sz w:val="20"/>
          <w:szCs w:val="20"/>
        </w:rPr>
        <w:t xml:space="preserve"> de Kits Lanches, nos termos da tabela abaixo, conforme condições e exigências estabelecidas neste instrumento.</w:t>
      </w:r>
    </w:p>
    <w:p>
      <w:pPr>
        <w:pStyle w:val="ListParagraph"/>
        <w:spacing w:lineRule="auto" w:line="276" w:before="0" w:after="0"/>
        <w:contextualSpacing/>
        <w:jc w:val="both"/>
        <w:rPr>
          <w:rFonts w:ascii="Arial" w:hAnsi="Arial" w:cs="Arial"/>
          <w:b/>
          <w:b/>
          <w:iCs/>
          <w:sz w:val="20"/>
          <w:szCs w:val="20"/>
        </w:rPr>
      </w:pPr>
      <w:r>
        <w:rPr>
          <w:rFonts w:cs="Arial" w:ascii="Arial" w:hAnsi="Arial"/>
          <w:b/>
          <w:iCs/>
          <w:sz w:val="20"/>
          <w:szCs w:val="20"/>
        </w:rPr>
      </w:r>
    </w:p>
    <w:tbl>
      <w:tblPr>
        <w:tblW w:w="9498" w:type="dxa"/>
        <w:jc w:val="left"/>
        <w:tblInd w:w="-188" w:type="dxa"/>
        <w:tblCellMar>
          <w:top w:w="0" w:type="dxa"/>
          <w:left w:w="58" w:type="dxa"/>
          <w:bottom w:w="0" w:type="dxa"/>
          <w:right w:w="108" w:type="dxa"/>
        </w:tblCellMar>
        <w:tblLook w:val="04a0" w:noHBand="0" w:noVBand="1" w:firstColumn="1" w:lastRow="0" w:lastColumn="0" w:firstRow="1"/>
      </w:tblPr>
      <w:tblGrid>
        <w:gridCol w:w="705"/>
        <w:gridCol w:w="2355"/>
        <w:gridCol w:w="1245"/>
        <w:gridCol w:w="1144"/>
        <w:gridCol w:w="1589"/>
        <w:gridCol w:w="1249"/>
        <w:gridCol w:w="1210"/>
      </w:tblGrid>
      <w:tr>
        <w:trPr/>
        <w:tc>
          <w:tcPr>
            <w:tcW w:w="70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ESPECIFICAÇÃO</w:t>
            </w:r>
          </w:p>
        </w:tc>
        <w:tc>
          <w:tcPr>
            <w:tcW w:w="12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CATSERV</w:t>
            </w:r>
          </w:p>
        </w:tc>
        <w:tc>
          <w:tcPr>
            <w:tcW w:w="11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UNIDADE DE MEDIDA</w:t>
            </w:r>
          </w:p>
        </w:tc>
        <w:tc>
          <w:tcPr>
            <w:tcW w:w="15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sz w:val="20"/>
                <w:szCs w:val="20"/>
              </w:rPr>
              <w:t>QUANTIDADE</w:t>
            </w:r>
          </w:p>
        </w:tc>
        <w:tc>
          <w:tcPr>
            <w:tcW w:w="124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sz w:val="20"/>
                <w:szCs w:val="20"/>
              </w:rPr>
              <w:t>VALOR UNITÁRIO</w:t>
            </w:r>
          </w:p>
        </w:tc>
        <w:tc>
          <w:tcPr>
            <w:tcW w:w="121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sz w:val="20"/>
                <w:szCs w:val="20"/>
              </w:rPr>
              <w:t>VALOR TOTAL</w:t>
            </w:r>
          </w:p>
        </w:tc>
      </w:tr>
      <w:tr>
        <w:trPr/>
        <w:tc>
          <w:tcPr>
            <w:tcW w:w="70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57" w:after="177"/>
              <w:jc w:val="center"/>
              <w:rPr>
                <w:rFonts w:ascii="Calibri" w:hAnsi="Calibri" w:eastAsia="Arial"/>
                <w:color w:val="000000"/>
                <w:sz w:val="21"/>
                <w:szCs w:val="21"/>
              </w:rPr>
            </w:pPr>
            <w:r>
              <w:rPr>
                <w:rFonts w:eastAsia="Arial"/>
                <w:color w:val="000000"/>
                <w:sz w:val="21"/>
                <w:szCs w:val="21"/>
              </w:rPr>
              <w:t>1</w:t>
            </w:r>
          </w:p>
        </w:tc>
        <w:tc>
          <w:tcPr>
            <w:tcW w:w="2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before="0" w:after="6"/>
              <w:jc w:val="left"/>
              <w:rPr>
                <w:rFonts w:ascii="Calibri" w:hAnsi="Calibri"/>
                <w:sz w:val="22"/>
                <w:szCs w:val="22"/>
              </w:rPr>
            </w:pPr>
            <w:r>
              <w:rPr>
                <w:rFonts w:eastAsia="Arial"/>
                <w:color w:val="000000"/>
                <w:sz w:val="22"/>
                <w:szCs w:val="22"/>
              </w:rPr>
              <w:t>Kit de lanche composto por:</w:t>
            </w:r>
          </w:p>
          <w:p>
            <w:pPr>
              <w:pStyle w:val="Normal"/>
              <w:widowControl w:val="false"/>
              <w:spacing w:before="0" w:after="6"/>
              <w:jc w:val="left"/>
              <w:rPr>
                <w:rFonts w:ascii="Calibri" w:hAnsi="Calibri"/>
                <w:sz w:val="22"/>
                <w:szCs w:val="22"/>
              </w:rPr>
            </w:pPr>
            <w:r>
              <w:rPr>
                <w:rFonts w:eastAsia="Arial"/>
                <w:color w:val="000000"/>
                <w:sz w:val="22"/>
                <w:szCs w:val="22"/>
              </w:rPr>
              <w:t>a) 1 caixa  individual</w:t>
            </w:r>
          </w:p>
          <w:p>
            <w:pPr>
              <w:pStyle w:val="Normal"/>
              <w:widowControl w:val="false"/>
              <w:spacing w:before="0" w:after="6"/>
              <w:jc w:val="left"/>
              <w:rPr>
                <w:rFonts w:ascii="Calibri" w:hAnsi="Calibri"/>
                <w:sz w:val="22"/>
                <w:szCs w:val="22"/>
              </w:rPr>
            </w:pPr>
            <w:r>
              <w:rPr>
                <w:rFonts w:eastAsia="Arial"/>
                <w:color w:val="000000"/>
                <w:sz w:val="22"/>
                <w:szCs w:val="22"/>
              </w:rPr>
              <w:t>b) 3 salgados fritos                                                                                                        c) 3 salgados assados                                                       d) 1 salada de frutas de 140G                                e) 1 fatia de bolo de 100G</w:t>
            </w:r>
          </w:p>
          <w:p>
            <w:pPr>
              <w:pStyle w:val="Normal"/>
              <w:widowControl w:val="false"/>
              <w:spacing w:before="0" w:after="6"/>
              <w:jc w:val="left"/>
              <w:rPr>
                <w:rFonts w:ascii="Calibri" w:hAnsi="Calibri"/>
                <w:sz w:val="22"/>
                <w:szCs w:val="22"/>
              </w:rPr>
            </w:pPr>
            <w:r>
              <w:rPr>
                <w:rFonts w:eastAsia="Arial"/>
                <w:color w:val="000000"/>
                <w:sz w:val="22"/>
                <w:szCs w:val="22"/>
              </w:rPr>
              <w:t>f) 1 refrigerante lata de 350ML</w:t>
            </w:r>
          </w:p>
        </w:tc>
        <w:tc>
          <w:tcPr>
            <w:tcW w:w="12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0"/>
              <w:ind w:left="0" w:right="0" w:hanging="0"/>
              <w:jc w:val="center"/>
              <w:rPr>
                <w:rFonts w:ascii="Calibri" w:hAnsi="Calibri"/>
              </w:rPr>
            </w:pPr>
            <w:r>
              <w:rPr>
                <w:rFonts w:eastAsia="Arial"/>
                <w:b w:val="false"/>
                <w:bCs w:val="false"/>
                <w:i w:val="false"/>
                <w:strike w:val="false"/>
                <w:dstrike w:val="false"/>
                <w:outline w:val="false"/>
                <w:shadow w:val="false"/>
                <w:color w:val="000000"/>
                <w:sz w:val="22"/>
                <w:szCs w:val="22"/>
                <w:u w:val="none"/>
                <w:em w:val="none"/>
              </w:rPr>
              <w:t>3697</w:t>
            </w:r>
          </w:p>
        </w:tc>
        <w:tc>
          <w:tcPr>
            <w:tcW w:w="114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120"/>
              <w:jc w:val="center"/>
              <w:rPr>
                <w:rFonts w:ascii="Calibri" w:hAnsi="Calibri" w:eastAsia="Arial"/>
                <w:color w:val="000000"/>
                <w:sz w:val="21"/>
                <w:szCs w:val="21"/>
              </w:rPr>
            </w:pPr>
            <w:r>
              <w:rPr>
                <w:rFonts w:eastAsia="Arial"/>
                <w:color w:val="000000"/>
                <w:sz w:val="21"/>
                <w:szCs w:val="21"/>
              </w:rPr>
              <w:t>UN</w:t>
            </w:r>
          </w:p>
        </w:tc>
        <w:tc>
          <w:tcPr>
            <w:tcW w:w="15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120"/>
              <w:jc w:val="center"/>
              <w:rPr/>
            </w:pPr>
            <w:r>
              <w:rPr>
                <w:rFonts w:eastAsia="Arial"/>
                <w:color w:val="000000"/>
                <w:sz w:val="21"/>
                <w:szCs w:val="21"/>
              </w:rPr>
              <w:t>200</w:t>
            </w:r>
          </w:p>
        </w:tc>
        <w:tc>
          <w:tcPr>
            <w:tcW w:w="124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120"/>
              <w:jc w:val="center"/>
              <w:rPr/>
            </w:pPr>
            <w:r>
              <w:rPr>
                <w:rFonts w:eastAsia="Arial"/>
                <w:color w:val="000000"/>
                <w:sz w:val="21"/>
                <w:szCs w:val="21"/>
              </w:rPr>
              <w:t>R$ 18,05</w:t>
            </w:r>
          </w:p>
        </w:tc>
        <w:tc>
          <w:tcPr>
            <w:tcW w:w="12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120"/>
              <w:jc w:val="center"/>
              <w:rPr/>
            </w:pPr>
            <w:r>
              <w:rPr>
                <w:rFonts w:eastAsia="Arial"/>
                <w:color w:val="000000"/>
                <w:sz w:val="21"/>
                <w:szCs w:val="21"/>
              </w:rPr>
              <w:t>R$ 3.611,00</w:t>
            </w:r>
          </w:p>
        </w:tc>
      </w:tr>
    </w:tbl>
    <w:p>
      <w:pPr>
        <w:pStyle w:val="Normal"/>
        <w:numPr>
          <w:ilvl w:val="0"/>
          <w:numId w:val="0"/>
        </w:numPr>
        <w:spacing w:lineRule="auto" w:line="276" w:before="0" w:after="0"/>
        <w:ind w:left="0" w:hanging="0"/>
        <w:contextualSpacing/>
        <w:jc w:val="both"/>
        <w:rPr/>
      </w:pPr>
      <w:r>
        <w:rPr/>
      </w:r>
    </w:p>
    <w:p>
      <w:pPr>
        <w:pStyle w:val="ListParagraph"/>
        <w:numPr>
          <w:ilvl w:val="0"/>
          <w:numId w:val="0"/>
        </w:numPr>
        <w:spacing w:lineRule="auto" w:line="276" w:before="0" w:after="0"/>
        <w:ind w:left="0" w:hanging="0"/>
        <w:contextualSpacing/>
        <w:jc w:val="both"/>
        <w:rPr>
          <w:i w:val="false"/>
          <w:i w:val="false"/>
          <w:iCs w:val="false"/>
          <w:color w:val="000000"/>
        </w:rPr>
      </w:pPr>
      <w:r>
        <w:rPr>
          <w:rFonts w:cs="Arial" w:ascii="Arial" w:hAnsi="Arial"/>
          <w:bCs/>
          <w:i w:val="false"/>
          <w:iCs w:val="false"/>
          <w:color w:val="000000"/>
          <w:sz w:val="20"/>
          <w:szCs w:val="20"/>
        </w:rPr>
        <w:t xml:space="preserve"> </w:t>
      </w:r>
      <w:r>
        <w:rPr>
          <w:rFonts w:cs="Arial" w:ascii="Arial" w:hAnsi="Arial"/>
          <w:bCs/>
          <w:i w:val="false"/>
          <w:iCs w:val="false"/>
          <w:color w:val="000000"/>
          <w:sz w:val="20"/>
          <w:szCs w:val="20"/>
        </w:rPr>
        <w:t>1.2. O prazo de vigência da contratação é de 12 (doze) meses contados da entrega da nota de empenho, na forma do artigo 105 da Lei n° 14.133/2021.</w:t>
      </w:r>
    </w:p>
    <w:p>
      <w:pPr>
        <w:pStyle w:val="Normal"/>
        <w:spacing w:lineRule="auto" w:line="276" w:before="0" w:after="0"/>
        <w:ind w:left="426" w:hanging="0"/>
        <w:jc w:val="both"/>
        <w:rPr>
          <w:rFonts w:ascii="Arial" w:hAnsi="Arial" w:cs="Arial"/>
          <w:b/>
          <w:b/>
          <w:i/>
          <w:i/>
          <w:color w:val="FF0000"/>
          <w:sz w:val="20"/>
          <w:szCs w:val="20"/>
        </w:rPr>
      </w:pPr>
      <w:r>
        <w:rPr>
          <w:rFonts w:cs="Arial" w:ascii="Arial" w:hAnsi="Arial"/>
          <w:b/>
          <w:i/>
          <w:color w:val="FF0000"/>
          <w:sz w:val="20"/>
          <w:szCs w:val="20"/>
        </w:rPr>
      </w:r>
    </w:p>
    <w:p>
      <w:pPr>
        <w:pStyle w:val="ListParagraph"/>
        <w:numPr>
          <w:ilvl w:val="0"/>
          <w:numId w:val="0"/>
        </w:numPr>
        <w:spacing w:lineRule="auto" w:line="276" w:before="0" w:after="0"/>
        <w:ind w:left="0" w:hanging="0"/>
        <w:contextualSpacing/>
        <w:jc w:val="both"/>
        <w:rPr>
          <w:rFonts w:ascii="Arial" w:hAnsi="Arial" w:cs="Arial"/>
          <w:b/>
          <w:b/>
          <w:i/>
          <w:i/>
          <w:color w:val="FF0000"/>
          <w:sz w:val="20"/>
          <w:szCs w:val="20"/>
        </w:rPr>
      </w:pPr>
      <w:r>
        <w:rPr>
          <w:rFonts w:cs="Arial" w:ascii="Arial" w:hAnsi="Arial"/>
          <w:iCs/>
          <w:sz w:val="20"/>
          <w:szCs w:val="20"/>
        </w:rPr>
        <w:t>1.3</w:t>
      </w:r>
      <w:r>
        <w:rPr>
          <w:rFonts w:cs="Arial" w:ascii="Arial" w:hAnsi="Arial"/>
          <w:i w:val="false"/>
          <w:iCs w:val="false"/>
          <w:color w:val="000000"/>
          <w:sz w:val="20"/>
          <w:szCs w:val="20"/>
        </w:rPr>
        <w:t>. O custo estimado total da contratação é de R$ 3.611,00 (tr</w:t>
      </w:r>
      <w:r>
        <w:rPr>
          <w:rFonts w:eastAsia="Calibri" w:cs="Arial" w:ascii="Arial" w:hAnsi="Arial"/>
          <w:i w:val="false"/>
          <w:iCs w:val="false"/>
          <w:color w:val="000000"/>
          <w:kern w:val="0"/>
          <w:sz w:val="20"/>
          <w:szCs w:val="20"/>
          <w:lang w:val="pt-BR" w:eastAsia="en-US" w:bidi="ar-SA"/>
        </w:rPr>
        <w:t>ês mil, seiscentos e onze reais</w:t>
      </w:r>
      <w:r>
        <w:rPr>
          <w:rFonts w:cs="Arial" w:ascii="Arial" w:hAnsi="Arial"/>
          <w:i w:val="false"/>
          <w:iCs w:val="false"/>
          <w:color w:val="000000"/>
          <w:sz w:val="20"/>
          <w:szCs w:val="20"/>
        </w:rPr>
        <w:t>), conforme custos unitários apostos na tabela acima.</w:t>
      </w:r>
    </w:p>
    <w:p>
      <w:pPr>
        <w:pStyle w:val="Normal"/>
        <w:spacing w:lineRule="auto" w:line="276" w:before="0" w:after="0"/>
        <w:jc w:val="both"/>
        <w:rPr>
          <w:rFonts w:cs="Arial"/>
          <w:szCs w:val="20"/>
        </w:rPr>
      </w:pPr>
      <w:r>
        <w:rPr>
          <w:rFonts w:cs="Arial"/>
          <w:szCs w:val="20"/>
        </w:rPr>
      </w:r>
    </w:p>
    <w:p>
      <w:pPr>
        <w:pStyle w:val="Nivel1"/>
        <w:numPr>
          <w:ilvl w:val="0"/>
          <w:numId w:val="2"/>
        </w:numPr>
        <w:spacing w:before="0" w:after="0"/>
        <w:rPr>
          <w:bCs/>
          <w:sz w:val="20"/>
          <w:szCs w:val="20"/>
        </w:rPr>
      </w:pPr>
      <w:r>
        <w:rPr>
          <w:bCs/>
          <w:sz w:val="20"/>
          <w:szCs w:val="20"/>
        </w:rPr>
        <w:t xml:space="preserve">FUNDAMENTAÇÃO E DESCRIÇÃO DA NECESSIDADE DA CONTRATAÇÃO (art. 6º, inciso XXIII, alínea ‘b’ da Lei n. 14.133/2021). </w:t>
      </w:r>
    </w:p>
    <w:p>
      <w:pPr>
        <w:pStyle w:val="Normal"/>
        <w:spacing w:before="0" w:after="0"/>
        <w:rPr>
          <w:bCs/>
          <w:sz w:val="20"/>
          <w:szCs w:val="20"/>
        </w:rPr>
      </w:pPr>
      <w:r>
        <w:rPr>
          <w:bCs/>
          <w:sz w:val="20"/>
          <w:szCs w:val="20"/>
        </w:rPr>
      </w:r>
    </w:p>
    <w:p>
      <w:pPr>
        <w:pStyle w:val="Normal"/>
        <w:numPr>
          <w:ilvl w:val="0"/>
          <w:numId w:val="0"/>
        </w:numPr>
        <w:spacing w:before="0" w:after="0"/>
        <w:ind w:left="360" w:hanging="0"/>
        <w:rPr/>
      </w:pPr>
      <w:r>
        <w:rPr>
          <w:rStyle w:val="Fontepargpadro"/>
          <w:rFonts w:cs="Times New Roman" w:ascii="Arial" w:hAnsi="Arial"/>
          <w:b/>
          <w:bCs/>
          <w:iCs/>
          <w:color w:val="000000"/>
          <w:sz w:val="20"/>
          <w:szCs w:val="20"/>
          <w:lang w:val="pt-BR"/>
        </w:rPr>
        <w:t>2.1.</w:t>
      </w:r>
      <w:r>
        <w:rPr>
          <w:rStyle w:val="Fontepargpadro"/>
          <w:rFonts w:cs="Times New Roman" w:ascii="Arial" w:hAnsi="Arial"/>
          <w:b w:val="false"/>
          <w:bCs w:val="false"/>
          <w:iCs/>
          <w:color w:val="000000"/>
          <w:sz w:val="20"/>
          <w:szCs w:val="20"/>
          <w:lang w:val="pt-BR"/>
        </w:rPr>
        <w:t xml:space="preserve">  O Comando do 3° Distrito Naval (Com3ºDN) tem como propósito contribuir para o cumprimento das tarefas de responsabilidade da Marinha do Brasil (MB), através das suas diversas Organizações Militares (OM) subordinadas, em sua área de jurisdição, que compreende os estados de Alagoas, Pernambuco, Paraíba, Rio Grande do Norte e Ceará.</w:t>
      </w:r>
    </w:p>
    <w:p>
      <w:pPr>
        <w:pStyle w:val="Normal"/>
        <w:numPr>
          <w:ilvl w:val="0"/>
          <w:numId w:val="0"/>
        </w:numPr>
        <w:spacing w:before="0" w:after="0"/>
        <w:ind w:left="360" w:hanging="0"/>
        <w:rPr/>
      </w:pPr>
      <w:r>
        <w:rPr>
          <w:rStyle w:val="Fontepargpadro"/>
          <w:rFonts w:eastAsia="Times New Roman" w:cs="Times New Roman" w:ascii="Arial" w:hAnsi="Arial"/>
          <w:b w:val="false"/>
          <w:bCs w:val="false"/>
          <w:i w:val="false"/>
          <w:iCs w:val="false"/>
          <w:caps w:val="false"/>
          <w:smallCaps w:val="false"/>
          <w:strike w:val="false"/>
          <w:dstrike w:val="false"/>
          <w:vanish w:val="false"/>
          <w:color w:val="00000A"/>
          <w:spacing w:val="0"/>
          <w:w w:val="100"/>
          <w:kern w:val="2"/>
          <w:position w:val="0"/>
          <w:sz w:val="20"/>
          <w:sz w:val="20"/>
          <w:szCs w:val="20"/>
          <w:u w:val="none"/>
          <w:shd w:fill="auto" w:val="clear"/>
          <w:vertAlign w:val="baseline"/>
          <w:lang w:val="pt-BR" w:eastAsia="en-US" w:bidi="ar-SA"/>
        </w:rPr>
        <w:t xml:space="preserve">O Núcleo de Assistência Social (NAS) do Comando do 3º Distrito Naval (Com3ºDN), atende,os militares e seus dependentes em diversas ações sociais ao longo do ano. O fornecimento dos kits lanches faz-se necessário para distribuição nos eventos realizados para a família naval referente as ações sociais previstas nos programas: Programa de Atendimento Especial (PAE); Programa de Qualidade de Vida (PQV); Programa de Movimentação ou Remoção por Motivo Social (MMS) e Programa de Atendimento Integrado em Missões. (Missões). </w:t>
      </w:r>
    </w:p>
    <w:p>
      <w:pPr>
        <w:pStyle w:val="Normal"/>
        <w:spacing w:lineRule="auto" w:line="276" w:before="0" w:after="0"/>
        <w:jc w:val="both"/>
        <w:rPr>
          <w:bCs/>
          <w:sz w:val="20"/>
          <w:szCs w:val="20"/>
        </w:rPr>
      </w:pPr>
      <w:r>
        <w:rPr>
          <w:bCs/>
          <w:sz w:val="20"/>
          <w:szCs w:val="20"/>
        </w:rPr>
      </w:r>
    </w:p>
    <w:p>
      <w:pPr>
        <w:pStyle w:val="Nivel1"/>
        <w:numPr>
          <w:ilvl w:val="0"/>
          <w:numId w:val="2"/>
        </w:numPr>
        <w:spacing w:before="0" w:after="0"/>
        <w:rPr>
          <w:bCs/>
          <w:sz w:val="20"/>
          <w:szCs w:val="20"/>
        </w:rPr>
      </w:pPr>
      <w:r>
        <w:rPr>
          <w:bCs/>
          <w:sz w:val="20"/>
          <w:szCs w:val="20"/>
        </w:rPr>
        <w:t>DESCRIÇÃO DA SOLUÇÃO COMO UM TODO CONSIDERADO O CICLO DE VIDA DO OBJETO (art. 6º, inciso XXIII, alínea ‘c’)</w:t>
      </w:r>
    </w:p>
    <w:p>
      <w:pPr>
        <w:pStyle w:val="Nivel1"/>
        <w:numPr>
          <w:ilvl w:val="1"/>
          <w:numId w:val="15"/>
        </w:numPr>
        <w:spacing w:lineRule="auto" w:line="276" w:before="0" w:after="0"/>
        <w:ind w:left="360" w:hanging="0"/>
        <w:jc w:val="both"/>
        <w:rPr>
          <w:rFonts w:ascii="Arial" w:hAnsi="Arial" w:cs="Arial"/>
          <w:i/>
          <w:i/>
          <w:iCs/>
          <w:color w:val="FF0000"/>
          <w:sz w:val="20"/>
          <w:szCs w:val="20"/>
        </w:rPr>
      </w:pPr>
      <w:r>
        <w:rPr>
          <w:rFonts w:cs="Arial"/>
          <w:b w:val="false"/>
          <w:bCs w:val="false"/>
          <w:i w:val="false"/>
          <w:iCs w:val="false"/>
          <w:color w:val="000000"/>
          <w:sz w:val="20"/>
          <w:szCs w:val="20"/>
        </w:rPr>
        <w:t xml:space="preserve"> </w:t>
      </w:r>
      <w:r>
        <w:rPr>
          <w:rStyle w:val="Fontepargpadro"/>
          <w:rFonts w:eastAsia="Times New Roman" w:cs="Times New Roman"/>
          <w:b w:val="false"/>
          <w:bCs w:val="false"/>
          <w:i w:val="false"/>
          <w:iCs w:val="false"/>
          <w:caps w:val="false"/>
          <w:smallCaps w:val="false"/>
          <w:strike w:val="false"/>
          <w:dstrike w:val="false"/>
          <w:vanish w:val="false"/>
          <w:color w:val="000000"/>
          <w:spacing w:val="0"/>
          <w:w w:val="100"/>
          <w:position w:val="0"/>
          <w:sz w:val="20"/>
          <w:sz w:val="20"/>
          <w:szCs w:val="20"/>
          <w:u w:val="none"/>
          <w:vertAlign w:val="baseline"/>
          <w:lang w:val="pt-BR" w:eastAsia="zh-CN" w:bidi="ar-SA"/>
        </w:rPr>
        <w:t xml:space="preserve"> </w:t>
      </w:r>
      <w:r>
        <w:rPr>
          <w:rStyle w:val="Fontepargpadro"/>
          <w:rFonts w:eastAsia="Times New Roman" w:cs="Times New Roman"/>
          <w:b w:val="false"/>
          <w:bCs w:val="false"/>
          <w:i w:val="false"/>
          <w:iCs w:val="false"/>
          <w:caps w:val="false"/>
          <w:smallCaps w:val="false"/>
          <w:strike w:val="false"/>
          <w:dstrike w:val="false"/>
          <w:vanish w:val="false"/>
          <w:color w:val="000000"/>
          <w:spacing w:val="0"/>
          <w:w w:val="100"/>
          <w:position w:val="0"/>
          <w:sz w:val="20"/>
          <w:sz w:val="20"/>
          <w:szCs w:val="20"/>
          <w:u w:val="none"/>
          <w:vertAlign w:val="baseline"/>
          <w:lang w:val="pt-BR" w:eastAsia="zh-CN" w:bidi="ar-SA"/>
        </w:rPr>
        <w:t xml:space="preserve">O serviço será prestado de forma parcial, divididos em dois dias distinto a combinar nos meses de </w:t>
      </w:r>
      <w:r>
        <w:rPr>
          <w:rStyle w:val="Fontepargpadro"/>
          <w:rFonts w:eastAsia="Times New Roman" w:cs="Times New Roman"/>
          <w:b w:val="false"/>
          <w:bCs w:val="false"/>
          <w:i w:val="false"/>
          <w:iCs w:val="false"/>
          <w:caps w:val="false"/>
          <w:smallCaps w:val="false"/>
          <w:strike w:val="false"/>
          <w:dstrike w:val="false"/>
          <w:vanish w:val="false"/>
          <w:color w:val="000000"/>
          <w:spacing w:val="0"/>
          <w:w w:val="100"/>
          <w:kern w:val="0"/>
          <w:position w:val="0"/>
          <w:sz w:val="20"/>
          <w:sz w:val="20"/>
          <w:szCs w:val="20"/>
          <w:u w:val="none"/>
          <w:vertAlign w:val="baseline"/>
          <w:lang w:val="pt-BR" w:eastAsia="zh-CN" w:bidi="ar-SA"/>
        </w:rPr>
        <w:t>setembro e outubro</w:t>
      </w:r>
      <w:r>
        <w:rPr>
          <w:rStyle w:val="Fontepargpadro"/>
          <w:rFonts w:eastAsia="Times New Roman" w:cs="Times New Roman"/>
          <w:b w:val="false"/>
          <w:bCs w:val="false"/>
          <w:i w:val="false"/>
          <w:iCs w:val="false"/>
          <w:caps w:val="false"/>
          <w:smallCaps w:val="false"/>
          <w:strike w:val="false"/>
          <w:dstrike w:val="false"/>
          <w:vanish w:val="false"/>
          <w:color w:val="000000"/>
          <w:spacing w:val="0"/>
          <w:w w:val="100"/>
          <w:position w:val="0"/>
          <w:sz w:val="20"/>
          <w:sz w:val="20"/>
          <w:szCs w:val="20"/>
          <w:u w:val="none"/>
          <w:vertAlign w:val="baseline"/>
          <w:lang w:val="pt-BR" w:eastAsia="zh-CN" w:bidi="ar-SA"/>
        </w:rPr>
        <w:t>, em razão da necessidade de ser adquirido em datas específicas dos eventos, em virtude de não ser  possível seu armazenamento para longos períodos.</w:t>
      </w:r>
    </w:p>
    <w:p>
      <w:pPr>
        <w:pStyle w:val="Normal"/>
        <w:spacing w:lineRule="auto" w:line="276" w:before="0" w:after="0"/>
        <w:ind w:left="360" w:hanging="0"/>
        <w:jc w:val="both"/>
        <w:rPr>
          <w:i w:val="false"/>
          <w:i w:val="false"/>
          <w:iCs w:val="false"/>
        </w:rPr>
      </w:pPr>
      <w:r>
        <w:rPr>
          <w:i w:val="false"/>
          <w:iCs w:val="false"/>
        </w:rPr>
      </w:r>
    </w:p>
    <w:p>
      <w:pPr>
        <w:pStyle w:val="Nivel1"/>
        <w:numPr>
          <w:ilvl w:val="0"/>
          <w:numId w:val="2"/>
        </w:numPr>
        <w:spacing w:before="0" w:after="0"/>
        <w:rPr>
          <w:i w:val="false"/>
          <w:i w:val="false"/>
          <w:iCs w:val="false"/>
        </w:rPr>
      </w:pPr>
      <w:r>
        <w:rPr>
          <w:bCs/>
          <w:i w:val="false"/>
          <w:iCs w:val="false"/>
          <w:sz w:val="20"/>
          <w:szCs w:val="20"/>
        </w:rPr>
        <w:t>REQUISITOS DA CONTRATAÇÃO (art. 6º, XXIII, alínea ‘d’ da Lei nº 14.133/21)</w:t>
      </w:r>
    </w:p>
    <w:p>
      <w:pPr>
        <w:pStyle w:val="Normal"/>
        <w:spacing w:before="0" w:after="0"/>
        <w:rPr>
          <w:i w:val="false"/>
          <w:i w:val="false"/>
          <w:iCs w:val="false"/>
        </w:rPr>
      </w:pPr>
      <w:r>
        <w:rPr>
          <w:i w:val="false"/>
          <w:iCs w:val="false"/>
        </w:rPr>
      </w:r>
    </w:p>
    <w:p>
      <w:pPr>
        <w:pStyle w:val="Nivel1"/>
        <w:numPr>
          <w:ilvl w:val="0"/>
          <w:numId w:val="0"/>
        </w:numPr>
        <w:spacing w:before="0" w:after="0"/>
        <w:ind w:left="432" w:hanging="0"/>
        <w:rPr>
          <w:i w:val="false"/>
          <w:i w:val="false"/>
          <w:iCs w:val="false"/>
        </w:rPr>
      </w:pPr>
      <w:r>
        <w:rPr>
          <w:bCs/>
          <w:i w:val="false"/>
          <w:iCs w:val="false"/>
          <w:sz w:val="20"/>
          <w:szCs w:val="20"/>
        </w:rPr>
        <w:t xml:space="preserve">4.1. </w:t>
      </w:r>
      <w:r>
        <w:rPr>
          <w:b w:val="false"/>
          <w:i w:val="false"/>
          <w:iCs w:val="false"/>
          <w:sz w:val="20"/>
          <w:szCs w:val="20"/>
        </w:rPr>
        <w:t>A contratação deverá observar os seguintes requisitos:</w:t>
      </w:r>
    </w:p>
    <w:p>
      <w:pPr>
        <w:pStyle w:val="ListParagraph"/>
        <w:numPr>
          <w:ilvl w:val="2"/>
          <w:numId w:val="1"/>
        </w:numPr>
        <w:spacing w:lineRule="auto" w:line="276" w:before="0" w:after="0"/>
        <w:contextualSpacing/>
        <w:jc w:val="both"/>
        <w:rPr>
          <w:i w:val="false"/>
          <w:i w:val="false"/>
          <w:iCs w:val="false"/>
        </w:rPr>
      </w:pPr>
      <w:r>
        <w:rPr>
          <w:rFonts w:cs="Arial" w:ascii="Arial" w:hAnsi="Arial"/>
          <w:i w:val="false"/>
          <w:iCs w:val="false"/>
          <w:sz w:val="20"/>
          <w:szCs w:val="20"/>
        </w:rPr>
        <w:t xml:space="preserve">  </w:t>
      </w:r>
      <w:r>
        <w:rPr>
          <w:rFonts w:cs="Arial" w:ascii="Arial" w:hAnsi="Arial"/>
          <w:i w:val="false"/>
          <w:iCs w:val="false"/>
          <w:color w:val="000000"/>
          <w:sz w:val="20"/>
          <w:szCs w:val="20"/>
        </w:rPr>
        <w:t>Sustentabilidade:</w:t>
      </w:r>
    </w:p>
    <w:p>
      <w:pPr>
        <w:pStyle w:val="ListParagraph"/>
        <w:numPr>
          <w:ilvl w:val="3"/>
          <w:numId w:val="1"/>
        </w:numPr>
        <w:shd w:val="clear" w:color="auto" w:fill="FFFFFF"/>
        <w:spacing w:lineRule="auto" w:line="276" w:before="0" w:after="0"/>
        <w:contextualSpacing/>
        <w:jc w:val="both"/>
        <w:rPr>
          <w:i w:val="false"/>
          <w:i w:val="false"/>
          <w:iCs w:val="false"/>
        </w:rPr>
      </w:pPr>
      <w:r>
        <w:rPr>
          <w:rFonts w:cs="Arial" w:ascii="Arial" w:hAnsi="Arial"/>
          <w:i w:val="false"/>
          <w:iCs w:val="false"/>
          <w:color w:val="000000"/>
          <w:sz w:val="20"/>
          <w:szCs w:val="20"/>
        </w:rPr>
        <w:t>Além dos critérios de sustentabilidade eventualmente inseridos na descrição do objeto, devem ser atendidos os seguintes requisitos, que se baseiam no Guia Nacional de Contratações Sustentáveis:</w:t>
      </w:r>
    </w:p>
    <w:p>
      <w:pPr>
        <w:pStyle w:val="ListParagraph"/>
        <w:numPr>
          <w:ilvl w:val="4"/>
          <w:numId w:val="1"/>
        </w:numPr>
        <w:shd w:val="clear" w:color="auto" w:fill="FFFFFF"/>
        <w:tabs>
          <w:tab w:val="clear" w:pos="720"/>
          <w:tab w:val="left" w:pos="2610" w:leader="none"/>
        </w:tabs>
        <w:spacing w:lineRule="auto" w:line="276" w:before="0" w:after="0"/>
        <w:contextualSpacing/>
        <w:jc w:val="left"/>
        <w:rPr>
          <w:i w:val="false"/>
          <w:i w:val="false"/>
          <w:iCs w:val="false"/>
        </w:rPr>
      </w:pPr>
      <w:r>
        <w:rPr>
          <w:rFonts w:cs="Arial" w:ascii="Arial" w:hAnsi="Arial"/>
          <w:b w:val="false"/>
          <w:bCs w:val="false"/>
          <w:i w:val="false"/>
          <w:iCs w:val="false"/>
          <w:color w:val="000000"/>
          <w:sz w:val="20"/>
          <w:szCs w:val="20"/>
          <w:u w:val="none"/>
        </w:rPr>
        <w:t>Que os bens sejam constituídos, no todo ou em parte, por material reciclado, atóxico, biodegradável, conforme ABNT NBR – 15448-1 e 15448-2;</w:t>
      </w:r>
    </w:p>
    <w:p>
      <w:pPr>
        <w:pStyle w:val="ListParagraph"/>
        <w:numPr>
          <w:ilvl w:val="4"/>
          <w:numId w:val="1"/>
        </w:numPr>
        <w:shd w:val="clear" w:color="auto" w:fill="FFFFFF"/>
        <w:tabs>
          <w:tab w:val="clear" w:pos="720"/>
          <w:tab w:val="left" w:pos="2490" w:leader="none"/>
        </w:tabs>
        <w:spacing w:lineRule="auto" w:line="276" w:before="0" w:after="0"/>
        <w:contextualSpacing/>
        <w:jc w:val="both"/>
        <w:rPr>
          <w:i w:val="false"/>
          <w:i w:val="false"/>
          <w:iCs w:val="false"/>
        </w:rPr>
      </w:pPr>
      <w:r>
        <w:rPr>
          <w:rFonts w:eastAsia="MyriadPro-Regular" w:cs="Arial" w:ascii="Arial" w:hAnsi="Arial"/>
          <w:b w:val="false"/>
          <w:bCs w:val="false"/>
          <w:i w:val="false"/>
          <w:iCs w:val="false"/>
          <w:color w:val="000000"/>
          <w:sz w:val="20"/>
          <w:szCs w:val="20"/>
          <w:u w:val="none"/>
        </w:rPr>
        <w:t>Que sejam observados os requisitos ambientais para a obtenção de certificação do Instituto Nacional de Metrologia, Normalização e Qualidade Industrial – INMETRO como produtos sustentáveis ou de menor impacto ambiental em relação aos seus similares;</w:t>
      </w:r>
      <w:r>
        <w:rPr>
          <w:rFonts w:eastAsia="MyriadPro-Regular" w:cs="Arial" w:ascii="Arial" w:hAnsi="Arial"/>
          <w:bCs/>
          <w:i w:val="false"/>
          <w:iCs w:val="false"/>
          <w:color w:val="000000"/>
          <w:sz w:val="20"/>
          <w:szCs w:val="20"/>
        </w:rPr>
        <w:t xml:space="preserve">  </w:t>
      </w:r>
    </w:p>
    <w:p>
      <w:pPr>
        <w:pStyle w:val="ListParagraph"/>
        <w:numPr>
          <w:ilvl w:val="4"/>
          <w:numId w:val="1"/>
        </w:numPr>
        <w:shd w:val="clear" w:color="auto" w:fill="FFFFFF"/>
        <w:tabs>
          <w:tab w:val="clear" w:pos="720"/>
          <w:tab w:val="left" w:pos="2490" w:leader="none"/>
        </w:tabs>
        <w:spacing w:lineRule="auto" w:line="276" w:before="0" w:after="0"/>
        <w:contextualSpacing/>
        <w:jc w:val="both"/>
        <w:rPr>
          <w:i w:val="false"/>
          <w:i w:val="false"/>
          <w:iCs w:val="false"/>
        </w:rPr>
      </w:pPr>
      <w:r>
        <w:rPr>
          <w:rFonts w:eastAsia="MyriadPro-Regular" w:cs="Arial" w:ascii="Arial" w:hAnsi="Arial"/>
          <w:b w:val="false"/>
          <w:bCs w:val="false"/>
          <w:i w:val="false"/>
          <w:iCs w:val="false"/>
          <w:color w:val="000000"/>
          <w:sz w:val="20"/>
          <w:szCs w:val="20"/>
          <w:u w:val="none"/>
        </w:rPr>
        <w:t>Que os bens devam ser, preferencialmente, acondicionados em embalagem individual adequada, com o menor volume possível, que utilize materiais recicláveis, de forma a garantir a máxima proteção durante o transporte e o armazenamento; e</w:t>
      </w:r>
    </w:p>
    <w:p>
      <w:pPr>
        <w:pStyle w:val="ListParagraph"/>
        <w:numPr>
          <w:ilvl w:val="4"/>
          <w:numId w:val="1"/>
        </w:numPr>
        <w:shd w:val="clear" w:color="auto" w:fill="FFFFFF"/>
        <w:tabs>
          <w:tab w:val="clear" w:pos="720"/>
          <w:tab w:val="left" w:pos="2490" w:leader="none"/>
        </w:tabs>
        <w:spacing w:lineRule="auto" w:line="276" w:before="0" w:after="0"/>
        <w:contextualSpacing/>
        <w:jc w:val="both"/>
        <w:rPr>
          <w:i w:val="false"/>
          <w:i w:val="false"/>
          <w:iCs w:val="false"/>
        </w:rPr>
      </w:pPr>
      <w:r>
        <w:rPr>
          <w:rFonts w:eastAsia="MyriadPro-Regular" w:cs="Arial"/>
          <w:bCs/>
          <w:i w:val="false"/>
          <w:iCs w:val="false"/>
          <w:color w:val="7DA7D8"/>
          <w:szCs w:val="20"/>
        </w:rPr>
        <w:t xml:space="preserve"> </w:t>
      </w:r>
      <w:r>
        <w:rPr>
          <w:rFonts w:eastAsia="MyriadPro-Regular" w:cs="Arial" w:ascii="Arial" w:hAnsi="Arial"/>
          <w:b w:val="false"/>
          <w:bCs w:val="false"/>
          <w:i w:val="false"/>
          <w:iCs w:val="false"/>
          <w:color w:val="000000"/>
          <w:sz w:val="20"/>
          <w:szCs w:val="20"/>
          <w:u w:val="none"/>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pPr>
        <w:pStyle w:val="ListParagraph"/>
        <w:numPr>
          <w:ilvl w:val="0"/>
          <w:numId w:val="0"/>
        </w:numPr>
        <w:shd w:val="clear" w:color="auto" w:fill="FFFFFF"/>
        <w:tabs>
          <w:tab w:val="clear" w:pos="720"/>
          <w:tab w:val="left" w:pos="2490" w:leader="none"/>
        </w:tabs>
        <w:spacing w:lineRule="auto" w:line="276" w:before="0" w:after="0"/>
        <w:ind w:left="2232" w:hanging="0"/>
        <w:contextualSpacing/>
        <w:jc w:val="both"/>
        <w:rPr>
          <w:i w:val="false"/>
          <w:i w:val="false"/>
          <w:iCs w:val="false"/>
        </w:rPr>
      </w:pPr>
      <w:r>
        <w:rPr>
          <w:i w:val="false"/>
          <w:iCs w:val="false"/>
        </w:rPr>
      </w:r>
    </w:p>
    <w:p>
      <w:pPr>
        <w:pStyle w:val="ListParagraph"/>
        <w:spacing w:lineRule="auto" w:line="276" w:before="0" w:after="0"/>
        <w:ind w:left="432" w:hanging="0"/>
        <w:contextualSpacing/>
        <w:jc w:val="both"/>
        <w:rPr>
          <w:i w:val="false"/>
          <w:i w:val="false"/>
          <w:iCs w:val="false"/>
        </w:rPr>
      </w:pPr>
      <w:r>
        <w:rPr>
          <w:rFonts w:cs="Arial" w:ascii="Arial" w:hAnsi="Arial"/>
          <w:b/>
          <w:bCs/>
          <w:i w:val="false"/>
          <w:iCs w:val="false"/>
          <w:color w:val="000000"/>
          <w:sz w:val="20"/>
          <w:szCs w:val="20"/>
        </w:rPr>
        <w:t>4.2</w:t>
      </w:r>
      <w:r>
        <w:rPr>
          <w:rFonts w:cs="Arial" w:ascii="Arial" w:hAnsi="Arial"/>
          <w:i w:val="false"/>
          <w:iCs w:val="false"/>
          <w:color w:val="000000"/>
          <w:sz w:val="20"/>
          <w:szCs w:val="20"/>
        </w:rPr>
        <w:t>. Não será admitida a subcontratação do objeto contratual.</w:t>
      </w:r>
    </w:p>
    <w:p>
      <w:pPr>
        <w:pStyle w:val="ListParagraph"/>
        <w:spacing w:lineRule="auto" w:line="276" w:before="0" w:after="0"/>
        <w:ind w:left="432" w:hanging="0"/>
        <w:contextualSpacing/>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ListParagraph"/>
        <w:spacing w:lineRule="auto" w:line="276" w:before="0" w:after="0"/>
        <w:ind w:left="1152" w:hanging="0"/>
        <w:contextualSpacing/>
        <w:jc w:val="both"/>
        <w:rPr>
          <w:i w:val="false"/>
          <w:i w:val="false"/>
          <w:iCs w:val="false"/>
        </w:rPr>
      </w:pPr>
      <w:r>
        <w:rPr>
          <w:rFonts w:cs="Arial" w:ascii="Arial" w:hAnsi="Arial"/>
          <w:i w:val="false"/>
          <w:iCs w:val="false"/>
          <w:color w:val="000000"/>
          <w:sz w:val="20"/>
          <w:szCs w:val="20"/>
        </w:rPr>
        <w:t>4.3. Não haverá exigência da garantia da contratação dos arts. 96 e seguintes da Lei nº 14.133/21, pelas razões abaixo justificadas:</w:t>
      </w:r>
    </w:p>
    <w:p>
      <w:pPr>
        <w:pStyle w:val="ListParagraph"/>
        <w:spacing w:lineRule="auto" w:line="276" w:before="0" w:after="0"/>
        <w:ind w:left="1152" w:hanging="0"/>
        <w:contextualSpacing/>
        <w:jc w:val="both"/>
        <w:rPr>
          <w:i w:val="false"/>
          <w:i w:val="false"/>
          <w:iCs w:val="false"/>
        </w:rPr>
      </w:pPr>
      <w:r>
        <w:rPr>
          <w:rFonts w:cs="Arial" w:ascii="Arial" w:hAnsi="Arial"/>
          <w:i w:val="false"/>
          <w:iCs w:val="false"/>
          <w:color w:val="000000"/>
          <w:sz w:val="20"/>
          <w:szCs w:val="20"/>
        </w:rPr>
        <w:t>4.3.1. pequeno valor</w:t>
      </w:r>
    </w:p>
    <w:p>
      <w:pPr>
        <w:pStyle w:val="ListParagraph"/>
        <w:spacing w:lineRule="auto" w:line="276" w:before="0" w:after="0"/>
        <w:ind w:left="1152" w:hanging="0"/>
        <w:contextualSpacing/>
        <w:jc w:val="both"/>
        <w:rPr>
          <w:i w:val="false"/>
          <w:i w:val="false"/>
          <w:iCs w:val="false"/>
        </w:rPr>
      </w:pPr>
      <w:r>
        <w:rPr>
          <w:rFonts w:cs="Arial" w:ascii="Arial" w:hAnsi="Arial"/>
          <w:i w:val="false"/>
          <w:iCs w:val="false"/>
          <w:color w:val="000000"/>
          <w:sz w:val="20"/>
          <w:szCs w:val="20"/>
        </w:rPr>
        <w:t>43.2. pagamento ocorrer apenas após a liquidação da despesa.</w:t>
      </w:r>
    </w:p>
    <w:p>
      <w:pPr>
        <w:pStyle w:val="ListParagraph"/>
        <w:suppressAutoHyphens w:val="true"/>
        <w:spacing w:lineRule="auto" w:line="240" w:before="0" w:after="120"/>
        <w:ind w:left="716" w:hanging="0"/>
        <w:contextualSpacing/>
        <w:jc w:val="both"/>
        <w:rPr>
          <w:i w:val="false"/>
          <w:i w:val="false"/>
          <w:iCs w:val="false"/>
          <w:color w:val="FF0000"/>
          <w:sz w:val="20"/>
          <w:szCs w:val="20"/>
        </w:rPr>
      </w:pPr>
      <w:r>
        <w:rPr>
          <w:i w:val="false"/>
          <w:iCs w:val="false"/>
          <w:color w:val="FF0000"/>
          <w:sz w:val="20"/>
          <w:szCs w:val="20"/>
        </w:rPr>
      </w:r>
    </w:p>
    <w:p>
      <w:pPr>
        <w:pStyle w:val="Nivel1"/>
        <w:numPr>
          <w:ilvl w:val="0"/>
          <w:numId w:val="2"/>
        </w:numPr>
        <w:spacing w:before="0" w:after="0"/>
        <w:rPr>
          <w:i w:val="false"/>
          <w:i w:val="false"/>
          <w:iCs w:val="false"/>
          <w:color w:val="000000"/>
        </w:rPr>
      </w:pPr>
      <w:r>
        <w:rPr>
          <w:i w:val="false"/>
          <w:iCs w:val="false"/>
          <w:color w:val="000000"/>
          <w:sz w:val="20"/>
          <w:szCs w:val="20"/>
        </w:rPr>
        <w:t>VISTORIA</w:t>
      </w:r>
    </w:p>
    <w:p>
      <w:pPr>
        <w:pStyle w:val="ListParagraph"/>
        <w:suppressAutoHyphens w:val="true"/>
        <w:spacing w:lineRule="auto" w:line="240" w:before="0" w:after="120"/>
        <w:ind w:left="716" w:hanging="0"/>
        <w:contextualSpacing/>
        <w:jc w:val="both"/>
        <w:rPr>
          <w:rFonts w:ascii="Arial" w:hAnsi="Arial" w:cs="Arial"/>
          <w:b/>
          <w:b/>
          <w:i w:val="false"/>
          <w:i w:val="false"/>
          <w:iCs w:val="false"/>
          <w:color w:val="000000"/>
          <w:sz w:val="20"/>
          <w:szCs w:val="20"/>
        </w:rPr>
      </w:pPr>
      <w:r>
        <w:rPr>
          <w:rFonts w:cs="Arial" w:ascii="Arial" w:hAnsi="Arial"/>
          <w:b/>
          <w:i w:val="false"/>
          <w:iCs w:val="false"/>
          <w:color w:val="000000"/>
          <w:sz w:val="20"/>
          <w:szCs w:val="20"/>
        </w:rPr>
      </w:r>
    </w:p>
    <w:p>
      <w:pPr>
        <w:pStyle w:val="ListParagraph"/>
        <w:numPr>
          <w:ilvl w:val="1"/>
          <w:numId w:val="16"/>
        </w:numPr>
        <w:spacing w:lineRule="auto" w:line="276"/>
        <w:jc w:val="both"/>
        <w:rPr>
          <w:i w:val="false"/>
          <w:i w:val="false"/>
          <w:iCs w:val="false"/>
          <w:color w:val="000000"/>
        </w:rPr>
      </w:pPr>
      <w:r>
        <w:rPr>
          <w:rFonts w:cs="Arial" w:ascii="Arial" w:hAnsi="Arial"/>
          <w:i w:val="false"/>
          <w:iCs w:val="false"/>
          <w:color w:val="000000"/>
          <w:sz w:val="20"/>
          <w:szCs w:val="20"/>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8:30 horas às 16:30 horas.</w:t>
      </w:r>
    </w:p>
    <w:p>
      <w:pPr>
        <w:pStyle w:val="ListParagraph"/>
        <w:numPr>
          <w:ilvl w:val="1"/>
          <w:numId w:val="17"/>
        </w:numPr>
        <w:spacing w:lineRule="auto" w:line="276"/>
        <w:rPr>
          <w:i w:val="false"/>
          <w:i w:val="false"/>
          <w:color w:val="000000"/>
        </w:rPr>
      </w:pPr>
      <w:r>
        <w:rPr>
          <w:rFonts w:cs="Arial" w:ascii="Arial" w:hAnsi="Arial"/>
          <w:i w:val="false"/>
          <w:iCs w:val="false"/>
          <w:color w:val="000000"/>
          <w:sz w:val="20"/>
          <w:szCs w:val="20"/>
        </w:rPr>
        <w:t>Serão disponibilizados data e horário diferentes aos interessados em realizar a vistoria prévia.</w:t>
      </w:r>
    </w:p>
    <w:p>
      <w:pPr>
        <w:pStyle w:val="Nvel2Opcional"/>
        <w:numPr>
          <w:ilvl w:val="1"/>
          <w:numId w:val="18"/>
        </w:numPr>
        <w:spacing w:before="120" w:after="0"/>
        <w:rPr>
          <w:i w:val="false"/>
          <w:i w:val="false"/>
          <w:iCs w:val="false"/>
          <w:color w:val="000000"/>
        </w:rPr>
      </w:pPr>
      <w:r>
        <w:rPr>
          <w:rFonts w:eastAsia="Calibri" w:eastAsiaTheme="minorHAnsi"/>
          <w:i w:val="false"/>
          <w:iCs w:val="false"/>
          <w:color w:val="000000"/>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pPr>
        <w:pStyle w:val="Nvel2Opcional"/>
        <w:numPr>
          <w:ilvl w:val="0"/>
          <w:numId w:val="0"/>
        </w:numPr>
        <w:ind w:left="0" w:hanging="0"/>
        <w:rPr>
          <w:rFonts w:eastAsia="Calibri" w:eastAsiaTheme="minorHAnsi"/>
          <w:lang w:eastAsia="en-US"/>
        </w:rPr>
      </w:pPr>
      <w:r>
        <w:rPr>
          <w:rFonts w:eastAsia="Calibri" w:eastAsiaTheme="minorHAnsi"/>
          <w:lang w:eastAsia="en-US"/>
        </w:rPr>
      </w:r>
    </w:p>
    <w:p>
      <w:pPr>
        <w:pStyle w:val="Nvel2Opcional"/>
        <w:numPr>
          <w:ilvl w:val="1"/>
          <w:numId w:val="19"/>
        </w:numPr>
        <w:rPr>
          <w:i w:val="false"/>
          <w:i w:val="false"/>
          <w:iCs w:val="false"/>
          <w:color w:val="000000"/>
        </w:rPr>
      </w:pPr>
      <w:r>
        <w:rPr>
          <w:rFonts w:eastAsia="Calibri" w:eastAsiaTheme="minorHAnsi"/>
          <w:i w:val="false"/>
          <w:iCs w:val="false"/>
          <w:color w:val="000000"/>
          <w:lang w:eastAsia="en-US"/>
        </w:rPr>
        <w:t xml:space="preserve"> </w:t>
      </w:r>
      <w:r>
        <w:rPr>
          <w:rFonts w:eastAsia="Calibri" w:eastAsiaTheme="minorHAnsi"/>
          <w:i w:val="false"/>
          <w:iCs w:val="false"/>
          <w:color w:val="000000"/>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Nivel1"/>
        <w:numPr>
          <w:ilvl w:val="0"/>
          <w:numId w:val="0"/>
        </w:numPr>
        <w:spacing w:before="0" w:after="0"/>
        <w:ind w:left="360" w:hanging="0"/>
        <w:rPr>
          <w:sz w:val="20"/>
          <w:szCs w:val="20"/>
        </w:rPr>
      </w:pPr>
      <w:r>
        <w:rPr>
          <w:sz w:val="20"/>
          <w:szCs w:val="20"/>
        </w:rPr>
      </w:r>
    </w:p>
    <w:p>
      <w:pPr>
        <w:pStyle w:val="Nivel1"/>
        <w:numPr>
          <w:ilvl w:val="0"/>
          <w:numId w:val="20"/>
        </w:numPr>
        <w:spacing w:before="0" w:after="0"/>
        <w:rPr>
          <w:sz w:val="20"/>
          <w:szCs w:val="20"/>
        </w:rPr>
      </w:pPr>
      <w:r>
        <w:rPr>
          <w:sz w:val="20"/>
          <w:szCs w:val="20"/>
        </w:rPr>
        <w:t>MODELO DE EXECUÇÃO CONTRATUAL (arts. 6º, XXIII, alínea “e” da Lei n. 14.133/2021).</w:t>
      </w:r>
    </w:p>
    <w:p>
      <w:pPr>
        <w:pStyle w:val="Normal"/>
        <w:spacing w:before="0" w:after="0"/>
        <w:rPr>
          <w:sz w:val="20"/>
          <w:szCs w:val="20"/>
        </w:rPr>
      </w:pPr>
      <w:r>
        <w:rPr>
          <w:sz w:val="20"/>
          <w:szCs w:val="20"/>
        </w:rPr>
      </w:r>
    </w:p>
    <w:p>
      <w:pPr>
        <w:pStyle w:val="Nivel2"/>
        <w:numPr>
          <w:ilvl w:val="1"/>
          <w:numId w:val="21"/>
        </w:numPr>
        <w:spacing w:before="0" w:after="0"/>
        <w:rPr>
          <w:i w:val="false"/>
          <w:i w:val="false"/>
          <w:iCs w:val="false"/>
          <w:color w:val="000000"/>
        </w:rPr>
      </w:pPr>
      <w:r>
        <w:rPr>
          <w:i w:val="false"/>
          <w:iCs w:val="false"/>
          <w:color w:val="000000"/>
          <w:sz w:val="20"/>
          <w:szCs w:val="20"/>
        </w:rPr>
        <w:t>O prazo de execução dos serviços será de 1 (um) dia, em data a ser combinada at</w:t>
      </w:r>
      <w:r>
        <w:rPr>
          <w:rFonts w:eastAsia="Calibri" w:cs="Arial"/>
          <w:i w:val="false"/>
          <w:iCs w:val="false"/>
          <w:color w:val="000000"/>
          <w:kern w:val="0"/>
          <w:sz w:val="20"/>
          <w:szCs w:val="20"/>
          <w:lang w:val="pt-BR" w:eastAsia="en-US" w:bidi="ar-SA"/>
        </w:rPr>
        <w:t>é 10 (dez) dias antes do evento.</w:t>
      </w:r>
    </w:p>
    <w:p>
      <w:pPr>
        <w:pStyle w:val="Nivel2"/>
        <w:widowControl/>
        <w:numPr>
          <w:ilvl w:val="1"/>
          <w:numId w:val="22"/>
        </w:numPr>
        <w:bidi w:val="0"/>
        <w:spacing w:lineRule="auto" w:line="276" w:before="0" w:after="0"/>
        <w:ind w:left="454" w:right="0" w:hanging="454"/>
        <w:jc w:val="both"/>
        <w:rPr>
          <w:color w:val="000000"/>
        </w:rPr>
      </w:pPr>
      <w:r>
        <w:rPr>
          <w:bCs/>
          <w:i w:val="false"/>
          <w:iCs w:val="false"/>
          <w:color w:val="000000"/>
          <w:sz w:val="20"/>
          <w:szCs w:val="20"/>
        </w:rPr>
        <w:t>Os serviços serão prestados em Natal-RN com endereço formalizado at</w:t>
      </w:r>
      <w:r>
        <w:rPr>
          <w:rFonts w:eastAsia="Calibri" w:cs="Arial"/>
          <w:bCs/>
          <w:i w:val="false"/>
          <w:iCs w:val="false"/>
          <w:color w:val="000000"/>
          <w:kern w:val="0"/>
          <w:sz w:val="20"/>
          <w:szCs w:val="20"/>
          <w:lang w:val="pt-BR" w:eastAsia="en-US" w:bidi="ar-SA"/>
        </w:rPr>
        <w:t>é 10 (dez) dias antes do evento.</w:t>
      </w:r>
    </w:p>
    <w:p>
      <w:pPr>
        <w:pStyle w:val="Nivel2"/>
        <w:spacing w:before="0" w:after="0"/>
        <w:ind w:left="851" w:hanging="0"/>
        <w:rPr>
          <w:bCs/>
          <w:i/>
          <w:i/>
          <w:iCs/>
          <w:color w:val="auto"/>
          <w:sz w:val="20"/>
          <w:szCs w:val="20"/>
        </w:rPr>
      </w:pPr>
      <w:r>
        <w:rPr>
          <w:bCs/>
          <w:i/>
          <w:iCs/>
          <w:color w:val="auto"/>
          <w:sz w:val="20"/>
          <w:szCs w:val="20"/>
        </w:rPr>
      </w:r>
    </w:p>
    <w:p>
      <w:pPr>
        <w:pStyle w:val="Normal"/>
        <w:keepNext w:val="true"/>
        <w:keepLines/>
        <w:numPr>
          <w:ilvl w:val="0"/>
          <w:numId w:val="23"/>
        </w:numPr>
        <w:tabs>
          <w:tab w:val="clear" w:pos="720"/>
          <w:tab w:val="left" w:pos="360" w:leader="none"/>
        </w:tabs>
        <w:spacing w:lineRule="auto" w:line="276" w:before="0" w:after="0"/>
        <w:ind w:left="0" w:hanging="0"/>
        <w:jc w:val="both"/>
        <w:outlineLvl w:val="0"/>
        <w:rPr>
          <w:rFonts w:ascii="Arial" w:hAnsi="Arial" w:eastAsia="Times New Roman" w:cs="Arial"/>
          <w:b/>
          <w:b/>
          <w:color w:val="000000"/>
          <w:sz w:val="20"/>
          <w:szCs w:val="20"/>
        </w:rPr>
      </w:pPr>
      <w:r>
        <w:rPr>
          <w:rFonts w:eastAsia="Times New Roman" w:cs="Arial" w:ascii="Arial" w:hAnsi="Arial"/>
          <w:b/>
          <w:color w:val="000000"/>
          <w:sz w:val="20"/>
          <w:szCs w:val="20"/>
        </w:rPr>
        <w:t>MODELO DE GESTÃO DO CONTRATO (art. 6º, XXIII, alínea “f” da Lei nº 14.133/21)</w:t>
      </w:r>
    </w:p>
    <w:p>
      <w:pPr>
        <w:pStyle w:val="Normal"/>
        <w:numPr>
          <w:ilvl w:val="0"/>
          <w:numId w:val="0"/>
        </w:numPr>
        <w:tabs>
          <w:tab w:val="clear" w:pos="720"/>
          <w:tab w:val="left" w:pos="360" w:leader="none"/>
        </w:tabs>
        <w:spacing w:lineRule="auto" w:line="276" w:before="0" w:after="0"/>
        <w:ind w:left="0" w:hanging="0"/>
        <w:jc w:val="both"/>
        <w:outlineLvl w:val="0"/>
        <w:rPr>
          <w:rFonts w:ascii="Arial" w:hAnsi="Arial" w:eastAsia="Times New Roman" w:cs="Arial"/>
          <w:b/>
          <w:b/>
          <w:color w:val="000000"/>
          <w:sz w:val="20"/>
          <w:szCs w:val="20"/>
        </w:rPr>
      </w:pPr>
      <w:r>
        <w:rPr>
          <w:rFonts w:eastAsia="Times New Roman" w:cs="Arial" w:ascii="Arial" w:hAnsi="Arial"/>
          <w:b/>
          <w:color w:val="000000"/>
          <w:sz w:val="20"/>
          <w:szCs w:val="20"/>
        </w:rPr>
      </w:r>
    </w:p>
    <w:p>
      <w:pPr>
        <w:pStyle w:val="Nivel2"/>
        <w:spacing w:before="0" w:after="0"/>
        <w:rPr>
          <w:color w:val="00000A"/>
          <w:sz w:val="20"/>
          <w:szCs w:val="20"/>
        </w:rPr>
      </w:pPr>
      <w:r>
        <w:rPr>
          <w:b/>
          <w:bCs/>
          <w:color w:val="00000A"/>
          <w:sz w:val="20"/>
          <w:szCs w:val="20"/>
        </w:rPr>
        <w:t>7.1.</w:t>
      </w:r>
      <w:r>
        <w:rPr>
          <w:color w:val="00000A"/>
          <w:sz w:val="20"/>
          <w:szCs w:val="20"/>
        </w:rPr>
        <w:t xml:space="preserve"> 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widowControl/>
        <w:suppressAutoHyphens w:val="true"/>
        <w:bidi w:val="0"/>
        <w:spacing w:lineRule="auto" w:line="276" w:before="0" w:after="0"/>
        <w:ind w:left="0" w:right="0" w:hanging="0"/>
        <w:jc w:val="both"/>
        <w:rPr/>
      </w:pPr>
      <w:r>
        <w:rPr>
          <w:b/>
          <w:bCs/>
          <w:color w:val="00000A"/>
          <w:sz w:val="20"/>
          <w:szCs w:val="20"/>
        </w:rPr>
        <w:t>7.2.</w:t>
      </w:r>
      <w:r>
        <w:rPr>
          <w:color w:val="00000A"/>
          <w:sz w:val="20"/>
          <w:szCs w:val="20"/>
        </w:rPr>
        <w:t xml:space="preserve"> 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widowControl/>
        <w:suppressAutoHyphens w:val="true"/>
        <w:bidi w:val="0"/>
        <w:spacing w:lineRule="auto" w:line="276" w:before="0" w:after="0"/>
        <w:ind w:left="0" w:right="0" w:hanging="0"/>
        <w:jc w:val="both"/>
        <w:rPr/>
      </w:pPr>
      <w:r>
        <w:rPr>
          <w:b/>
          <w:bCs/>
          <w:color w:val="00000A"/>
          <w:sz w:val="20"/>
          <w:szCs w:val="20"/>
        </w:rPr>
        <w:t>7.3.</w:t>
      </w:r>
      <w:r>
        <w:rPr>
          <w:color w:val="00000A"/>
          <w:sz w:val="20"/>
          <w:szCs w:val="20"/>
        </w:rPr>
        <w:t xml:space="preserve"> A execução do contrato deverá ser acompanhada e fiscalizada pelo(s) fiscal(is) do contrato, ou pelos respectivos substitutos (Lei nº 14.133/2021, art. 117, </w:t>
      </w:r>
      <w:r>
        <w:rPr>
          <w:i/>
          <w:iCs/>
          <w:color w:val="00000A"/>
          <w:sz w:val="20"/>
          <w:szCs w:val="20"/>
        </w:rPr>
        <w:t>caput</w:t>
      </w:r>
      <w:bookmarkStart w:id="1" w:name="art117%25252525252525252525252525252525C"/>
      <w:bookmarkEnd w:id="1"/>
      <w:r>
        <w:rPr>
          <w:color w:val="00000A"/>
          <w:sz w:val="20"/>
          <w:szCs w:val="20"/>
        </w:rPr>
        <w:t>).</w:t>
      </w:r>
    </w:p>
    <w:p>
      <w:pPr>
        <w:pStyle w:val="Nivel3"/>
        <w:widowControl/>
        <w:suppressAutoHyphens w:val="true"/>
        <w:bidi w:val="0"/>
        <w:spacing w:lineRule="auto" w:line="276" w:before="0" w:after="0"/>
        <w:ind w:left="0" w:right="0" w:hanging="0"/>
        <w:contextualSpacing/>
        <w:jc w:val="both"/>
        <w:rPr/>
      </w:pPr>
      <w:r>
        <w:rPr>
          <w:b/>
          <w:bCs/>
        </w:rPr>
        <w:t>7.3.1</w:t>
      </w:r>
      <w:r>
        <w:rPr/>
        <w:t xml:space="preserve"> O fiscal do contrato anotará em registro próprio todas as ocorrências relacionadas à execução do contrato, determinando o que for necessário para a regularização das faltas ou dos defeitos observados (Lei nº 14.133/2021, art. 117, §1º).</w:t>
      </w:r>
    </w:p>
    <w:p>
      <w:pPr>
        <w:pStyle w:val="Nivel3"/>
        <w:widowControl/>
        <w:suppressAutoHyphens w:val="true"/>
        <w:bidi w:val="0"/>
        <w:spacing w:lineRule="auto" w:line="276" w:before="0" w:after="0"/>
        <w:ind w:left="0" w:right="0" w:hanging="0"/>
        <w:contextualSpacing/>
        <w:jc w:val="both"/>
        <w:rPr/>
      </w:pPr>
      <w:r>
        <w:rPr>
          <w:b/>
          <w:bCs/>
        </w:rPr>
        <w:t>7.3.2.</w:t>
      </w:r>
      <w:r>
        <w:rPr/>
        <w:t xml:space="preserve"> O fiscal do contrato informará a seus superiores, em tempo hábil para a adoção das medidas convenientes, a situação que demandar decisão ou providência que ultrapasse sua competência (Lei nº 14.133/2021, art. 117, §2º).</w:t>
      </w:r>
    </w:p>
    <w:p>
      <w:pPr>
        <w:pStyle w:val="Nivel2"/>
        <w:widowControl/>
        <w:suppressAutoHyphens w:val="true"/>
        <w:bidi w:val="0"/>
        <w:spacing w:lineRule="auto" w:line="276" w:before="0" w:after="0"/>
        <w:ind w:left="0" w:right="0" w:hanging="0"/>
        <w:jc w:val="both"/>
        <w:rPr/>
      </w:pPr>
      <w:r>
        <w:rPr>
          <w:b/>
          <w:bCs/>
          <w:color w:val="00000A"/>
          <w:sz w:val="20"/>
          <w:szCs w:val="20"/>
        </w:rPr>
        <w:t>7.4.</w:t>
      </w:r>
      <w:r>
        <w:rPr>
          <w:color w:val="00000A"/>
          <w:sz w:val="20"/>
          <w:szCs w:val="20"/>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widowControl/>
        <w:suppressAutoHyphens w:val="true"/>
        <w:bidi w:val="0"/>
        <w:spacing w:lineRule="auto" w:line="276" w:before="0" w:after="0"/>
        <w:ind w:left="0" w:right="0" w:hanging="0"/>
        <w:jc w:val="both"/>
        <w:rPr/>
      </w:pPr>
      <w:r>
        <w:rPr>
          <w:b/>
          <w:bCs/>
          <w:color w:val="00000A"/>
          <w:sz w:val="20"/>
          <w:szCs w:val="20"/>
        </w:rPr>
        <w:t>7.5.</w:t>
      </w:r>
      <w:r>
        <w:rPr>
          <w:color w:val="00000A"/>
          <w:sz w:val="20"/>
          <w:szCs w:val="20"/>
        </w:rPr>
        <w:t xml:space="preserve">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widowControl/>
        <w:suppressAutoHyphens w:val="true"/>
        <w:bidi w:val="0"/>
        <w:spacing w:lineRule="auto" w:line="276" w:before="0" w:after="0"/>
        <w:ind w:left="0" w:right="0" w:hanging="0"/>
        <w:jc w:val="both"/>
        <w:rPr/>
      </w:pPr>
      <w:r>
        <w:rPr>
          <w:b/>
          <w:bCs/>
          <w:color w:val="00000A"/>
          <w:sz w:val="20"/>
          <w:szCs w:val="20"/>
        </w:rPr>
        <w:t>7.6.</w:t>
      </w:r>
      <w:r>
        <w:rPr>
          <w:color w:val="00000A"/>
          <w:sz w:val="20"/>
          <w:szCs w:val="20"/>
        </w:rPr>
        <w:t xml:space="preserve"> 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widowControl/>
        <w:suppressAutoHyphens w:val="true"/>
        <w:bidi w:val="0"/>
        <w:spacing w:lineRule="auto" w:line="276" w:before="0" w:after="0"/>
        <w:ind w:left="0" w:right="0" w:hanging="0"/>
        <w:contextualSpacing/>
        <w:jc w:val="both"/>
        <w:rPr/>
      </w:pPr>
      <w:r>
        <w:rPr>
          <w:b/>
          <w:bCs/>
        </w:rPr>
        <w:t>7.6.1.</w:t>
      </w:r>
      <w:r>
        <w:rPr/>
        <w:t xml:space="preserve"> A inadimplência do contratado em relação aos encargos trabalhistas, fiscais e comerciais não transferirá à Administração a responsabilidade pelo seu pagamento e não poderá onerar o objeto do contrato (Lei nº 14.133/2021, art. 121, §1º).</w:t>
      </w:r>
    </w:p>
    <w:p>
      <w:pPr>
        <w:pStyle w:val="Nivel2"/>
        <w:widowControl/>
        <w:suppressAutoHyphens w:val="true"/>
        <w:bidi w:val="0"/>
        <w:spacing w:lineRule="auto" w:line="276" w:before="0" w:after="0"/>
        <w:ind w:left="0" w:right="0" w:hanging="0"/>
        <w:jc w:val="both"/>
        <w:rPr/>
      </w:pPr>
      <w:r>
        <w:rPr>
          <w:b/>
          <w:bCs/>
          <w:sz w:val="20"/>
          <w:szCs w:val="20"/>
        </w:rPr>
        <w:t xml:space="preserve">7.7. </w:t>
      </w:r>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widowControl/>
        <w:suppressAutoHyphens w:val="true"/>
        <w:bidi w:val="0"/>
        <w:spacing w:lineRule="auto" w:line="276" w:before="0" w:after="0"/>
        <w:ind w:left="0" w:right="0" w:hanging="0"/>
        <w:jc w:val="both"/>
        <w:rPr/>
      </w:pPr>
      <w:r>
        <w:rPr>
          <w:b/>
          <w:bCs/>
          <w:sz w:val="20"/>
          <w:szCs w:val="20"/>
        </w:rPr>
        <w:t>7.8.</w:t>
      </w:r>
      <w:r>
        <w:rPr>
          <w:sz w:val="20"/>
          <w:szCs w:val="20"/>
        </w:rPr>
        <w:t xml:space="preserve"> O órgão ou entidade poderá convocar representante da empresa para adoção de providências que devam ser cumpridas de imediato (IN 5/2017, art. 44, 31º).</w:t>
      </w:r>
    </w:p>
    <w:p>
      <w:pPr>
        <w:pStyle w:val="Nivel2"/>
        <w:widowControl/>
        <w:suppressAutoHyphens w:val="true"/>
        <w:bidi w:val="0"/>
        <w:spacing w:lineRule="auto" w:line="276" w:before="0" w:after="0"/>
        <w:ind w:left="0" w:right="0" w:hanging="0"/>
        <w:jc w:val="both"/>
        <w:rPr/>
      </w:pPr>
      <w:r>
        <w:rPr>
          <w:b/>
          <w:bCs/>
          <w:sz w:val="20"/>
          <w:szCs w:val="20"/>
        </w:rPr>
        <w:t>7.9.</w:t>
      </w:r>
      <w:r>
        <w:rPr>
          <w:sz w:val="20"/>
          <w:szCs w:val="20"/>
        </w:rPr>
        <w:t xml:space="preserve"> Antes do pagamento da nota fiscal ou da fatura, deverá ser consultada a situação da empresa junto ao SICAF.</w:t>
      </w:r>
    </w:p>
    <w:p>
      <w:pPr>
        <w:pStyle w:val="Nivel2"/>
        <w:widowControl/>
        <w:suppressAutoHyphens w:val="true"/>
        <w:bidi w:val="0"/>
        <w:spacing w:lineRule="auto" w:line="276" w:before="0" w:after="0"/>
        <w:ind w:left="0" w:right="0" w:hanging="0"/>
        <w:jc w:val="both"/>
        <w:rPr>
          <w:rFonts w:ascii="Arial" w:hAnsi="Arial" w:cs="Arial"/>
          <w:sz w:val="20"/>
          <w:szCs w:val="20"/>
        </w:rPr>
      </w:pPr>
      <w:r>
        <w:rPr>
          <w:rFonts w:cs="Arial"/>
          <w:b/>
          <w:bCs/>
          <w:sz w:val="20"/>
          <w:szCs w:val="20"/>
        </w:rPr>
        <w:t>7.10.</w:t>
      </w:r>
      <w:r>
        <w:rPr>
          <w:rFonts w:cs="Arial"/>
          <w:sz w:val="20"/>
          <w:szCs w:val="20"/>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widowControl/>
        <w:suppressAutoHyphens w:val="true"/>
        <w:bidi w:val="0"/>
        <w:spacing w:lineRule="auto" w:line="276" w:before="0" w:after="0"/>
        <w:ind w:left="0" w:right="0" w:hanging="0"/>
        <w:jc w:val="both"/>
        <w:rPr>
          <w:rFonts w:ascii="Arial" w:hAnsi="Arial" w:cs="Arial"/>
          <w:sz w:val="20"/>
          <w:szCs w:val="20"/>
        </w:rPr>
      </w:pPr>
      <w:r>
        <w:rPr>
          <w:rFonts w:cs="Arial"/>
          <w:sz w:val="20"/>
          <w:szCs w:val="20"/>
        </w:rPr>
      </w:r>
    </w:p>
    <w:p>
      <w:pPr>
        <w:pStyle w:val="Nivel1"/>
        <w:keepNext w:val="true"/>
        <w:keepLines/>
        <w:widowControl/>
        <w:numPr>
          <w:ilvl w:val="0"/>
          <w:numId w:val="0"/>
        </w:numPr>
        <w:bidi w:val="0"/>
        <w:spacing w:lineRule="auto" w:line="276" w:before="0" w:after="0"/>
        <w:ind w:left="0" w:right="0" w:hanging="0"/>
        <w:jc w:val="both"/>
        <w:rPr>
          <w:i w:val="false"/>
          <w:i w:val="false"/>
          <w:iCs w:val="false"/>
          <w:color w:val="000000"/>
        </w:rPr>
      </w:pPr>
      <w:r>
        <w:rPr>
          <w:i w:val="false"/>
          <w:iCs w:val="false"/>
          <w:color w:val="000000"/>
          <w:sz w:val="20"/>
          <w:szCs w:val="20"/>
        </w:rPr>
        <w:t xml:space="preserve">8. FORMA E CRITÉRIOS DE SELEÇÃO DO FORNECEDOR MEDIANTE O USO DO SISTEMA DE DISPENSA ELETRÔNICA (art. 6º, inciso XXIII, alínea ‘h’, da Lei n. 14.133/2021) </w:t>
      </w:r>
    </w:p>
    <w:p>
      <w:pPr>
        <w:pStyle w:val="Normal"/>
        <w:widowControl/>
        <w:numPr>
          <w:ilvl w:val="0"/>
          <w:numId w:val="0"/>
        </w:numPr>
        <w:bidi w:val="0"/>
        <w:spacing w:lineRule="auto" w:line="276" w:before="0" w:after="0"/>
        <w:ind w:left="0" w:right="0" w:hanging="340"/>
        <w:jc w:val="both"/>
        <w:outlineLvl w:val="0"/>
        <w:rPr>
          <w:i w:val="false"/>
          <w:i w:val="false"/>
          <w:iCs w:val="false"/>
          <w:color w:val="000000"/>
          <w:sz w:val="20"/>
          <w:szCs w:val="20"/>
        </w:rPr>
      </w:pPr>
      <w:r>
        <w:rPr>
          <w:i w:val="false"/>
          <w:iCs w:val="false"/>
          <w:color w:val="000000"/>
          <w:sz w:val="20"/>
          <w:szCs w:val="20"/>
        </w:rPr>
      </w:r>
    </w:p>
    <w:p>
      <w:pPr>
        <w:pStyle w:val="Nivel2"/>
        <w:spacing w:before="0" w:after="0"/>
        <w:ind w:left="432" w:hanging="0"/>
        <w:rPr/>
      </w:pPr>
      <w:r>
        <w:rPr>
          <w:b/>
          <w:bCs/>
          <w:sz w:val="20"/>
          <w:szCs w:val="20"/>
        </w:rPr>
        <w:t>8.1.</w:t>
      </w:r>
      <w:r>
        <w:rPr>
          <w:sz w:val="20"/>
          <w:szCs w:val="20"/>
        </w:rPr>
        <w:tab/>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ivel2"/>
        <w:spacing w:before="0" w:after="0"/>
        <w:ind w:left="432" w:hanging="0"/>
        <w:rPr/>
      </w:pPr>
      <w:r>
        <w:rPr>
          <w:rFonts w:eastAsia="Times New Roman"/>
          <w:b/>
          <w:bCs/>
          <w:sz w:val="20"/>
          <w:szCs w:val="20"/>
          <w:lang w:eastAsia="pt-BR"/>
        </w:rPr>
        <w:t>8.2.</w:t>
      </w:r>
      <w:r>
        <w:rPr>
          <w:rFonts w:eastAsia="Times New Roman"/>
          <w:sz w:val="20"/>
          <w:szCs w:val="20"/>
          <w:lang w:eastAsia="pt-BR"/>
        </w:rPr>
        <w:tab/>
        <w:t xml:space="preserve">As exigências de habilitação jurídica, </w:t>
      </w:r>
      <w:r>
        <w:rPr>
          <w:rFonts w:eastAsia="WenQuanYi Micro Hei"/>
          <w:sz w:val="20"/>
          <w:szCs w:val="20"/>
          <w:lang w:eastAsia="zh-CN" w:bidi="hi-IN"/>
        </w:rPr>
        <w:t xml:space="preserve">fiscal, social e trabalhista </w:t>
      </w:r>
      <w:r>
        <w:rPr>
          <w:rFonts w:eastAsia="Times New Roman"/>
          <w:sz w:val="20"/>
          <w:szCs w:val="20"/>
          <w:lang w:eastAsia="pt-BR"/>
        </w:rPr>
        <w:t xml:space="preserve">são as usuais para a generalidade dos objetos, conforme disciplinado no Anexo I do Aviso de </w:t>
      </w:r>
      <w:r>
        <w:rPr>
          <w:sz w:val="20"/>
          <w:szCs w:val="20"/>
        </w:rPr>
        <w:t>Contratação</w:t>
      </w:r>
      <w:r>
        <w:rPr>
          <w:rFonts w:eastAsia="Times New Roman"/>
          <w:sz w:val="20"/>
          <w:szCs w:val="20"/>
          <w:lang w:eastAsia="pt-BR"/>
        </w:rPr>
        <w:t xml:space="preserve"> Direta.</w:t>
      </w:r>
    </w:p>
    <w:p>
      <w:pPr>
        <w:pStyle w:val="Nivel2"/>
        <w:spacing w:before="0" w:after="0"/>
        <w:ind w:left="432" w:hanging="0"/>
        <w:rPr/>
      </w:pPr>
      <w:r>
        <w:rPr>
          <w:rFonts w:eastAsia="Times New Roman"/>
          <w:b/>
          <w:bCs/>
          <w:sz w:val="20"/>
          <w:szCs w:val="20"/>
          <w:lang w:eastAsia="pt-BR"/>
        </w:rPr>
        <w:t>8.3.</w:t>
        <w:tab/>
      </w:r>
      <w:r>
        <w:rPr>
          <w:rFonts w:eastAsia="Times New Roman"/>
          <w:sz w:val="20"/>
          <w:szCs w:val="20"/>
          <w:lang w:eastAsia="pt-BR"/>
        </w:rPr>
        <w:t>Os critérios de habilitação econômico-financeira a serem atendidos pelo fornecedor estão previstos no Anexo I do Aviso de Contratação Direta.</w:t>
      </w:r>
    </w:p>
    <w:p>
      <w:pPr>
        <w:pStyle w:val="Nivel2"/>
        <w:numPr>
          <w:ilvl w:val="0"/>
          <w:numId w:val="0"/>
        </w:numPr>
        <w:spacing w:before="0" w:after="0"/>
        <w:ind w:left="0" w:hanging="0"/>
        <w:rPr/>
      </w:pPr>
      <w:r>
        <w:rPr>
          <w:rFonts w:eastAsia="Times New Roman"/>
          <w:sz w:val="20"/>
          <w:szCs w:val="20"/>
          <w:lang w:eastAsia="pt-BR"/>
        </w:rPr>
        <w:t xml:space="preserve">      </w:t>
      </w:r>
      <w:r>
        <w:rPr>
          <w:rFonts w:eastAsia="Times New Roman"/>
          <w:b/>
          <w:bCs/>
          <w:sz w:val="20"/>
          <w:szCs w:val="20"/>
          <w:lang w:eastAsia="pt-BR"/>
        </w:rPr>
        <w:t xml:space="preserve">  </w:t>
      </w:r>
      <w:r>
        <w:rPr>
          <w:rFonts w:eastAsia="Times New Roman"/>
          <w:b/>
          <w:bCs/>
          <w:sz w:val="20"/>
          <w:szCs w:val="20"/>
          <w:lang w:eastAsia="pt-BR"/>
        </w:rPr>
        <w:t xml:space="preserve">8.4. </w:t>
      </w:r>
      <w:r>
        <w:rPr>
          <w:rFonts w:eastAsia="Times New Roman"/>
          <w:sz w:val="20"/>
          <w:szCs w:val="20"/>
          <w:lang w:eastAsia="pt-BR"/>
        </w:rPr>
        <w:t>Os critérios de habilitação técnica a serem atendidos pelo fornecedor serão:</w:t>
      </w:r>
    </w:p>
    <w:p>
      <w:pPr>
        <w:pStyle w:val="Nivel2"/>
        <w:numPr>
          <w:ilvl w:val="0"/>
          <w:numId w:val="0"/>
        </w:numPr>
        <w:spacing w:before="0" w:after="0"/>
        <w:ind w:left="0" w:hanging="0"/>
        <w:rPr/>
      </w:pPr>
      <w:r>
        <w:rPr>
          <w:rFonts w:eastAsia="Times New Roman"/>
          <w:b/>
          <w:bCs/>
          <w:sz w:val="20"/>
          <w:szCs w:val="20"/>
          <w:lang w:eastAsia="pt-BR"/>
        </w:rPr>
        <w:t xml:space="preserve">      </w:t>
      </w:r>
      <w:r>
        <w:rPr>
          <w:rFonts w:eastAsia="Times New Roman"/>
          <w:b/>
          <w:bCs/>
          <w:sz w:val="20"/>
          <w:szCs w:val="20"/>
          <w:lang w:eastAsia="pt-BR"/>
        </w:rPr>
        <w:t xml:space="preserve">8.5. </w:t>
      </w:r>
      <w:r>
        <w:rPr>
          <w:sz w:val="20"/>
          <w:szCs w:val="20"/>
        </w:rPr>
        <w:t>Comprovação</w:t>
      </w:r>
      <w:r>
        <w:rPr>
          <w:rFonts w:eastAsia="Times New Roman"/>
          <w:sz w:val="20"/>
          <w:szCs w:val="20"/>
          <w:lang w:eastAsia="pt-BR"/>
        </w:rPr>
        <w:t xml:space="preserve"> de aptidão para o fornecimento de bens similares de complexidade tecnológica </w:t>
        <w:tab/>
        <w:t xml:space="preserve">e operacional equivalente ou superior com o objeto desta contratação, ou com o item </w:t>
        <w:tab/>
        <w:t xml:space="preserve">pertinente, por meio da apresentação de certidões ou atestados, por pessoas jurídicas de </w:t>
        <w:tab/>
        <w:t xml:space="preserve">direito </w:t>
        <w:tab/>
        <w:t xml:space="preserve">público ou privado, ou regularmente emitido(s) pelo conselho profissional competente, </w:t>
        <w:tab/>
        <w:t>quando for o caso.</w:t>
      </w:r>
    </w:p>
    <w:p>
      <w:pPr>
        <w:pStyle w:val="Nivel2"/>
        <w:spacing w:before="0" w:after="0"/>
        <w:rPr/>
      </w:pPr>
      <w:r>
        <w:rPr>
          <w:sz w:val="20"/>
          <w:szCs w:val="20"/>
        </w:rPr>
        <w:tab/>
      </w:r>
      <w:r>
        <w:rPr>
          <w:b/>
          <w:bCs/>
          <w:sz w:val="20"/>
          <w:szCs w:val="20"/>
        </w:rPr>
        <w:t>8.6.</w:t>
      </w:r>
      <w:r>
        <w:rPr>
          <w:sz w:val="20"/>
          <w:szCs w:val="20"/>
        </w:rPr>
        <w:t xml:space="preserve">Os atestados de capacidade técnica poderão ser apresentados em nome da matriz ou da </w:t>
        <w:tab/>
        <w:t>filial do fornecedor.</w:t>
      </w:r>
    </w:p>
    <w:p>
      <w:pPr>
        <w:pStyle w:val="Nivel2"/>
        <w:spacing w:before="0" w:after="0"/>
        <w:rPr/>
      </w:pPr>
      <w:r>
        <w:rPr>
          <w:bCs/>
          <w:sz w:val="20"/>
          <w:szCs w:val="20"/>
        </w:rPr>
        <w:tab/>
      </w:r>
      <w:r>
        <w:rPr>
          <w:b/>
          <w:bCs/>
          <w:sz w:val="20"/>
          <w:szCs w:val="20"/>
        </w:rPr>
        <w:t xml:space="preserve">8.7. </w:t>
      </w:r>
      <w:r>
        <w:rPr>
          <w:bCs/>
          <w:sz w:val="20"/>
          <w:szCs w:val="20"/>
        </w:rPr>
        <w:t xml:space="preserve">O fornecedor </w:t>
      </w:r>
      <w:r>
        <w:rPr>
          <w:sz w:val="20"/>
          <w:szCs w:val="20"/>
        </w:rPr>
        <w:t>disponibilizará</w:t>
      </w:r>
      <w:r>
        <w:rPr>
          <w:bCs/>
          <w:sz w:val="20"/>
          <w:szCs w:val="20"/>
        </w:rPr>
        <w:t xml:space="preserve"> todas as informações necessárias à </w:t>
      </w:r>
      <w:r>
        <w:rPr>
          <w:sz w:val="20"/>
          <w:szCs w:val="20"/>
        </w:rPr>
        <w:t>comprovação</w:t>
      </w:r>
      <w:r>
        <w:rPr>
          <w:bCs/>
          <w:sz w:val="20"/>
          <w:szCs w:val="20"/>
        </w:rPr>
        <w:t xml:space="preserve"> da </w:t>
        <w:tab/>
        <w:tab/>
        <w:t xml:space="preserve">legitimidade dos atestados, apresentando, quando solicitado pela Administração, </w:t>
      </w:r>
      <w:r>
        <w:rPr>
          <w:sz w:val="20"/>
          <w:szCs w:val="20"/>
        </w:rPr>
        <w:t>cópia</w:t>
      </w:r>
      <w:r>
        <w:rPr>
          <w:bCs/>
          <w:sz w:val="20"/>
          <w:szCs w:val="20"/>
        </w:rPr>
        <w:t xml:space="preserve"> do </w:t>
        <w:tab/>
        <w:t xml:space="preserve">contrato que deu suporte à contratação, endereço atual da contratante e local em que foi </w:t>
        <w:tab/>
        <w:t>executado o objeto contratado, dentre outros documentos.</w:t>
      </w:r>
    </w:p>
    <w:p>
      <w:pPr>
        <w:pStyle w:val="Nivel2"/>
        <w:spacing w:before="0" w:after="0"/>
        <w:rPr/>
      </w:pPr>
      <w:r>
        <w:rPr>
          <w:rFonts w:cs="Arial"/>
          <w:b/>
          <w:bCs/>
          <w:i/>
          <w:color w:val="000000"/>
          <w:sz w:val="20"/>
          <w:szCs w:val="20"/>
        </w:rPr>
        <w:tab/>
        <w:t>8.8. N</w:t>
      </w:r>
      <w:r>
        <w:rPr>
          <w:rFonts w:eastAsia="Calibri" w:cs="Arial"/>
          <w:b/>
          <w:bCs/>
          <w:i/>
          <w:color w:val="000000"/>
          <w:sz w:val="20"/>
          <w:szCs w:val="20"/>
          <w:lang w:val="pt-BR" w:eastAsia="en-US" w:bidi="ar-SA"/>
        </w:rPr>
        <w:t>ão se aplica.</w:t>
      </w:r>
    </w:p>
    <w:p>
      <w:pPr>
        <w:pStyle w:val="Nivel2"/>
        <w:numPr>
          <w:ilvl w:val="0"/>
          <w:numId w:val="0"/>
        </w:numPr>
        <w:spacing w:before="0" w:after="0"/>
        <w:ind w:left="0" w:hanging="0"/>
        <w:rPr/>
      </w:pPr>
      <w:r>
        <w:rPr>
          <w:b/>
          <w:bCs/>
          <w:sz w:val="20"/>
          <w:szCs w:val="20"/>
        </w:rPr>
        <w:t xml:space="preserve">      </w:t>
      </w:r>
      <w:r>
        <w:rPr>
          <w:b/>
          <w:bCs/>
          <w:sz w:val="20"/>
          <w:szCs w:val="20"/>
        </w:rPr>
        <w:t xml:space="preserve">8.9. </w:t>
      </w:r>
      <w:r>
        <w:rPr>
          <w:sz w:val="20"/>
          <w:szCs w:val="20"/>
        </w:rPr>
        <w:t xml:space="preserve">Previamente à celebração do contrato, a Administração verificará o eventual descumprimento </w:t>
        <w:tab/>
        <w:t xml:space="preserve">das condições para contratação, especialmente quanto à existência de sanção que a impeça, </w:t>
        <w:tab/>
        <w:t xml:space="preserve">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color w:val="000000"/>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b) Cadastro Nacional de Empresas Inidôneas e Suspensas - CEIS, mantido pela Controladoria-Geral da União (</w:t>
      </w:r>
      <w:hyperlink r:id="rId3">
        <w:r>
          <w:rPr>
            <w:rStyle w:val="LinkdaInternet"/>
            <w:rFonts w:cs="Arial" w:ascii="Arial" w:hAnsi="Arial"/>
            <w:color w:val="000000"/>
            <w:sz w:val="20"/>
            <w:szCs w:val="20"/>
            <w:lang w:eastAsia="ar-SA"/>
          </w:rPr>
          <w:t>www.portaldatransparencia.gov.br/ceis</w:t>
        </w:r>
      </w:hyperlink>
      <w:r>
        <w:rPr>
          <w:rFonts w:cs="Arial" w:ascii="Arial" w:hAnsi="Arial"/>
          <w:color w:val="000000"/>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c) Cadastro Nacional de Empresas Punidas – CNEP, mantido pela Controladoria-Geral da União (</w:t>
      </w:r>
      <w:hyperlink r:id="rId4">
        <w:r>
          <w:rPr>
            <w:rStyle w:val="LinkdaInternet"/>
            <w:rFonts w:cs="Arial" w:ascii="Arial" w:hAnsi="Arial"/>
            <w:color w:val="000000"/>
            <w:sz w:val="20"/>
            <w:szCs w:val="20"/>
            <w:lang w:eastAsia="ar-SA"/>
          </w:rPr>
          <w:t>https://www.portaltransparencia.gov.br/sancoes/cnep</w:t>
        </w:r>
      </w:hyperlink>
      <w:r>
        <w:rPr>
          <w:rFonts w:cs="Arial" w:ascii="Arial" w:hAnsi="Arial"/>
          <w:color w:val="000000"/>
          <w:sz w:val="20"/>
          <w:szCs w:val="20"/>
          <w:lang w:eastAsia="ar-SA"/>
        </w:rPr>
        <w:t>)</w:t>
      </w:r>
    </w:p>
    <w:p>
      <w:pPr>
        <w:pStyle w:val="Nivel2"/>
        <w:spacing w:before="0" w:after="0"/>
        <w:ind w:left="284" w:hanging="0"/>
        <w:rPr>
          <w:i/>
          <w:i/>
          <w:iCs/>
          <w:color w:val="FF0000"/>
          <w:sz w:val="20"/>
          <w:szCs w:val="20"/>
        </w:rPr>
      </w:pPr>
      <w:r>
        <w:rPr>
          <w:sz w:val="20"/>
          <w:szCs w:val="20"/>
        </w:rPr>
        <w:t>8.1.1.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0"/>
          <w:numId w:val="0"/>
        </w:numPr>
        <w:spacing w:before="0" w:after="0"/>
        <w:ind w:left="284" w:hanging="0"/>
        <w:rPr>
          <w:i/>
          <w:i/>
          <w:iCs/>
          <w:color w:val="FF0000"/>
          <w:sz w:val="20"/>
          <w:szCs w:val="20"/>
        </w:rPr>
      </w:pPr>
      <w:r>
        <w:rPr>
          <w:sz w:val="20"/>
          <w:szCs w:val="20"/>
        </w:rPr>
        <w:t>8.1.2. 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0"/>
          <w:numId w:val="0"/>
        </w:numPr>
        <w:spacing w:before="0" w:after="0"/>
        <w:ind w:left="284" w:hanging="0"/>
        <w:rPr>
          <w:i/>
          <w:i/>
          <w:iCs/>
          <w:color w:val="FF0000"/>
          <w:sz w:val="20"/>
          <w:szCs w:val="20"/>
        </w:rPr>
      </w:pPr>
      <w:r>
        <w:rPr>
          <w:sz w:val="20"/>
          <w:szCs w:val="20"/>
        </w:rPr>
        <w:t>8.1.3. A tentativa de burla será verificada por meio dos vínculos societários, linhas de fornecimento similares, dentre outros.</w:t>
      </w:r>
    </w:p>
    <w:p>
      <w:pPr>
        <w:pStyle w:val="Nivel2"/>
        <w:numPr>
          <w:ilvl w:val="0"/>
          <w:numId w:val="0"/>
        </w:numPr>
        <w:spacing w:before="0" w:after="0"/>
        <w:ind w:left="284" w:hanging="0"/>
        <w:rPr>
          <w:i/>
          <w:i/>
          <w:iCs/>
          <w:color w:val="FF0000"/>
          <w:sz w:val="20"/>
          <w:szCs w:val="20"/>
        </w:rPr>
      </w:pPr>
      <w:r>
        <w:rPr>
          <w:sz w:val="20"/>
          <w:szCs w:val="20"/>
        </w:rPr>
        <w:t>8.1.4.O fornecedor será convocado para manifestação previamente a uma eventual negativa de contratação.</w:t>
      </w:r>
    </w:p>
    <w:p>
      <w:pPr>
        <w:pStyle w:val="Nivel2"/>
        <w:numPr>
          <w:ilvl w:val="0"/>
          <w:numId w:val="0"/>
        </w:numPr>
        <w:spacing w:before="0" w:after="0"/>
        <w:ind w:left="284" w:hanging="0"/>
        <w:rPr>
          <w:i/>
          <w:i/>
          <w:iCs/>
          <w:color w:val="FF0000"/>
          <w:sz w:val="20"/>
          <w:szCs w:val="20"/>
        </w:rPr>
      </w:pPr>
      <w:r>
        <w:rPr>
          <w:sz w:val="20"/>
          <w:szCs w:val="20"/>
        </w:rPr>
        <w:t>8.1.5. Caso atendidas as condições para contratação, a habilitação do fornecedor será verificada por meio do SICAF, nos documentos por ele abrangidos.</w:t>
      </w:r>
    </w:p>
    <w:p>
      <w:pPr>
        <w:pStyle w:val="Nivel2"/>
        <w:numPr>
          <w:ilvl w:val="0"/>
          <w:numId w:val="0"/>
        </w:numPr>
        <w:spacing w:before="0" w:after="0"/>
        <w:ind w:left="284" w:hanging="0"/>
        <w:rPr>
          <w:i/>
          <w:i/>
          <w:iCs/>
          <w:color w:val="FF0000"/>
          <w:sz w:val="20"/>
          <w:szCs w:val="20"/>
        </w:rPr>
      </w:pPr>
      <w:r>
        <w:rPr>
          <w:sz w:val="20"/>
          <w:szCs w:val="20"/>
        </w:rPr>
        <w:t>8.1.6. É dever do fornecedor manter atualizada a respectiva documentação constante do SICAF, ou encaminhar, quando solicitado pela Administração, a respectiva documentação atualizada.</w:t>
      </w:r>
    </w:p>
    <w:p>
      <w:pPr>
        <w:pStyle w:val="Nivel2"/>
        <w:numPr>
          <w:ilvl w:val="0"/>
          <w:numId w:val="0"/>
        </w:numPr>
        <w:spacing w:before="0" w:after="0"/>
        <w:ind w:left="284" w:hanging="0"/>
        <w:rPr>
          <w:i/>
          <w:i/>
          <w:iCs/>
          <w:color w:val="FF0000"/>
          <w:sz w:val="20"/>
          <w:szCs w:val="20"/>
        </w:rPr>
      </w:pPr>
      <w:r>
        <w:rPr>
          <w:sz w:val="20"/>
          <w:szCs w:val="20"/>
        </w:rPr>
        <w:t>8.1.7. Não serão aceitos documentos de habilitação com indicação de CNPJ/CPF diferentes, salvo aqueles legalmente permitidos.</w:t>
      </w:r>
    </w:p>
    <w:p>
      <w:pPr>
        <w:pStyle w:val="Nivel2"/>
        <w:numPr>
          <w:ilvl w:val="0"/>
          <w:numId w:val="0"/>
        </w:numPr>
        <w:spacing w:before="0" w:after="0"/>
        <w:ind w:left="284" w:hanging="0"/>
        <w:rPr>
          <w:i/>
          <w:i/>
          <w:iCs/>
          <w:color w:val="FF0000"/>
          <w:sz w:val="20"/>
          <w:szCs w:val="20"/>
        </w:rPr>
      </w:pPr>
      <w:r>
        <w:rPr>
          <w:sz w:val="20"/>
          <w:szCs w:val="20"/>
        </w:rPr>
        <w:t>8.1.8.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0"/>
          <w:numId w:val="0"/>
        </w:numPr>
        <w:spacing w:before="0" w:after="0"/>
        <w:ind w:left="284" w:hanging="0"/>
        <w:rPr>
          <w:i/>
          <w:i/>
          <w:iCs/>
          <w:color w:val="FF0000"/>
          <w:sz w:val="20"/>
          <w:szCs w:val="20"/>
        </w:rPr>
      </w:pPr>
      <w:r>
        <w:rPr>
          <w:sz w:val="20"/>
          <w:szCs w:val="20"/>
        </w:rPr>
        <w:t>8.1.9. Serão aceitos registros de CNPJ de fornecedor matriz e filial com diferenças de números de documentos pertinentes ao CND e ao CRF/FGTS, quando for comprovada a centralização do recolhimento dessas contribuições.</w:t>
      </w:r>
    </w:p>
    <w:p>
      <w:pPr>
        <w:pStyle w:val="Nivel2"/>
        <w:numPr>
          <w:ilvl w:val="0"/>
          <w:numId w:val="0"/>
        </w:numPr>
        <w:spacing w:before="0" w:after="0"/>
        <w:ind w:left="284" w:hanging="0"/>
        <w:rPr/>
      </w:pPr>
      <w:r>
        <w:rPr>
          <w:sz w:val="20"/>
          <w:szCs w:val="20"/>
        </w:rPr>
        <w:t>8.2.1.Para fins de contratação, deverá o fornecedor comprovar os seguintes requisitos de habilitação:</w:t>
      </w:r>
    </w:p>
    <w:p>
      <w:pPr>
        <w:pStyle w:val="Nivel2"/>
        <w:numPr>
          <w:ilvl w:val="0"/>
          <w:numId w:val="0"/>
        </w:numPr>
        <w:spacing w:before="0" w:after="0"/>
        <w:ind w:left="284" w:hanging="0"/>
        <w:rPr/>
      </w:pPr>
      <w:r>
        <w:rPr>
          <w:b/>
          <w:sz w:val="20"/>
          <w:szCs w:val="20"/>
        </w:rPr>
        <w:t>8.2.2. Habilitação Jurídica</w:t>
      </w:r>
      <w:r>
        <w:rPr>
          <w:b/>
          <w:bCs/>
          <w:sz w:val="20"/>
          <w:szCs w:val="20"/>
        </w:rPr>
        <w:t xml:space="preserve">: </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a) Pessoa física:</w:t>
      </w:r>
      <w:r>
        <w:rPr>
          <w:rFonts w:cs="Arial" w:ascii="Arial" w:hAnsi="Arial"/>
          <w:color w:val="000000"/>
          <w:sz w:val="20"/>
          <w:szCs w:val="20"/>
        </w:rPr>
        <w:t xml:space="preserve">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1072" w:hanging="0"/>
        <w:jc w:val="both"/>
        <w:rPr/>
      </w:pPr>
      <w:r>
        <w:rPr>
          <w:rFonts w:cs="Arial" w:ascii="Arial" w:hAnsi="Arial"/>
          <w:b/>
          <w:color w:val="000000"/>
          <w:sz w:val="20"/>
          <w:szCs w:val="20"/>
        </w:rPr>
        <w:t>b) Empresário individual</w:t>
      </w:r>
      <w:r>
        <w:rPr>
          <w:rFonts w:cs="Arial" w:ascii="Arial" w:hAnsi="Arial"/>
          <w:color w:val="000000"/>
          <w:sz w:val="20"/>
          <w:szCs w:val="20"/>
        </w:rPr>
        <w:t xml:space="preserve">: inscrição no Registro Público de Empresas Mercantis, a cargo da Junta Comercial da respectiva sede; </w:t>
      </w:r>
    </w:p>
    <w:p>
      <w:pPr>
        <w:pStyle w:val="Normal"/>
        <w:widowControl/>
        <w:numPr>
          <w:ilvl w:val="0"/>
          <w:numId w:val="0"/>
        </w:numPr>
        <w:tabs>
          <w:tab w:val="clear" w:pos="720"/>
          <w:tab w:val="left" w:pos="1305" w:leader="none"/>
        </w:tabs>
        <w:bidi w:val="0"/>
        <w:spacing w:lineRule="auto" w:line="276" w:before="120" w:after="120"/>
        <w:ind w:left="1077" w:right="0" w:hanging="0"/>
        <w:jc w:val="both"/>
        <w:rPr/>
      </w:pPr>
      <w:r>
        <w:rPr>
          <w:rFonts w:cs="Arial" w:ascii="Arial" w:hAnsi="Arial"/>
          <w:b/>
          <w:color w:val="000000"/>
          <w:sz w:val="20"/>
          <w:szCs w:val="20"/>
        </w:rPr>
        <w:t>c) Microempreendedor Individual - MEI</w:t>
      </w:r>
      <w:r>
        <w:rPr>
          <w:rFonts w:cs="Arial" w:ascii="Arial" w:hAnsi="Arial"/>
          <w:color w:val="000000"/>
          <w:sz w:val="20"/>
          <w:szCs w:val="20"/>
        </w:rPr>
        <w:t xml:space="preserve">: Certificado da Condição de Microempreendedor Individual - CCMEI, cuja aceitação ficará condicionada à verificação da autenticidade no sítio </w:t>
      </w:r>
      <w:hyperlink r:id="rId5">
        <w:r>
          <w:rPr>
            <w:rStyle w:val="LinkdaInternet"/>
            <w:rFonts w:cs="Arial" w:ascii="Arial" w:hAnsi="Arial"/>
            <w:color w:val="000000"/>
            <w:sz w:val="20"/>
            <w:szCs w:val="20"/>
          </w:rPr>
          <w:t>www.portaldoempreendedor.gov.br</w:t>
        </w:r>
      </w:hyperlink>
      <w:r>
        <w:rPr>
          <w:rFonts w:cs="Arial" w:ascii="Arial" w:hAnsi="Arial"/>
          <w:color w:val="000000"/>
          <w:sz w:val="20"/>
          <w:szCs w:val="20"/>
        </w:rPr>
        <w:t xml:space="preserve">; </w:t>
      </w:r>
    </w:p>
    <w:p>
      <w:pPr>
        <w:pStyle w:val="Normal"/>
        <w:numPr>
          <w:ilvl w:val="0"/>
          <w:numId w:val="0"/>
        </w:numPr>
        <w:spacing w:lineRule="auto" w:line="276" w:before="120" w:after="120"/>
        <w:ind w:left="1072" w:hanging="0"/>
        <w:jc w:val="both"/>
        <w:rPr/>
      </w:pPr>
      <w:r>
        <w:rPr>
          <w:rFonts w:cs="Arial" w:ascii="Arial" w:hAnsi="Arial"/>
          <w:b/>
          <w:color w:val="000000"/>
          <w:sz w:val="20"/>
          <w:szCs w:val="20"/>
        </w:rPr>
        <w:t>d) Sociedade empresária, sociedade limitada unipessoal – SLU ou sociedade identificada como empresa individual de responsabilidade limitada - EIRELI</w:t>
      </w:r>
      <w:r>
        <w:rPr>
          <w:rFonts w:cs="Arial" w:ascii="Arial" w:hAnsi="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0"/>
          <w:numId w:val="0"/>
        </w:numPr>
        <w:spacing w:lineRule="auto" w:line="276" w:before="120" w:after="120"/>
        <w:ind w:left="1072" w:hanging="0"/>
        <w:jc w:val="both"/>
        <w:rPr/>
      </w:pPr>
      <w:r>
        <w:rPr>
          <w:rFonts w:cs="Arial" w:ascii="Arial" w:hAnsi="Arial"/>
          <w:b/>
          <w:color w:val="000000"/>
          <w:sz w:val="20"/>
          <w:szCs w:val="20"/>
        </w:rPr>
        <w:t>e) Sociedade empresária estrangeira com atuação permanente no País</w:t>
      </w:r>
      <w:r>
        <w:rPr>
          <w:rFonts w:cs="Arial" w:ascii="Arial" w:hAnsi="Arial"/>
          <w:color w:val="000000"/>
          <w:sz w:val="20"/>
          <w:szCs w:val="20"/>
        </w:rPr>
        <w:t>: decreto de autorização para funcionamento no Brasil;</w:t>
      </w:r>
    </w:p>
    <w:p>
      <w:pPr>
        <w:pStyle w:val="Normal"/>
        <w:widowControl/>
        <w:numPr>
          <w:ilvl w:val="0"/>
          <w:numId w:val="0"/>
        </w:numPr>
        <w:bidi w:val="0"/>
        <w:spacing w:lineRule="auto" w:line="276" w:before="120" w:after="120"/>
        <w:ind w:left="1077" w:right="0" w:hanging="0"/>
        <w:jc w:val="both"/>
        <w:rPr/>
      </w:pPr>
      <w:r>
        <w:rPr>
          <w:rFonts w:cs="Arial" w:ascii="Arial" w:hAnsi="Arial"/>
          <w:b/>
          <w:color w:val="000000"/>
          <w:sz w:val="20"/>
          <w:szCs w:val="20"/>
        </w:rPr>
        <w:t>8.2.3. Sociedade simples</w:t>
      </w:r>
      <w:r>
        <w:rPr>
          <w:rFonts w:cs="Arial" w:ascii="Arial" w:hAnsi="Arial"/>
          <w:color w:val="000000"/>
          <w:sz w:val="20"/>
          <w:szCs w:val="20"/>
        </w:rPr>
        <w:t>: inscrição do ato constitutivo no Registro Civil de Pessoas Jurídicas do local de sua sede, acompanhada de documento comprobatório de seus administradores;</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8.2.4. Filial, sucursal ou agência</w:t>
      </w:r>
      <w:r>
        <w:rPr>
          <w:rFonts w:cs="Arial" w:ascii="Arial" w:hAnsi="Arial"/>
          <w:color w:val="000000"/>
          <w:sz w:val="20"/>
          <w:szCs w:val="20"/>
        </w:rPr>
        <w:t xml:space="preserve"> </w:t>
      </w:r>
      <w:r>
        <w:rPr>
          <w:rFonts w:cs="Arial" w:ascii="Arial" w:hAnsi="Arial"/>
          <w:b/>
          <w:color w:val="000000"/>
          <w:sz w:val="20"/>
          <w:szCs w:val="20"/>
        </w:rPr>
        <w:t>de sociedade simples ou empresária</w:t>
      </w:r>
      <w:r>
        <w:rPr>
          <w:rFonts w:cs="Arial" w:ascii="Arial" w:hAnsi="Arial"/>
          <w:color w:val="00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8.2.5. Sociedade cooperativa</w:t>
      </w:r>
      <w:r>
        <w:rPr>
          <w:rFonts w:cs="Arial" w:ascii="Arial" w:hAnsi="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numPr>
          <w:ilvl w:val="0"/>
          <w:numId w:val="0"/>
        </w:numPr>
        <w:spacing w:lineRule="auto" w:line="276" w:before="120" w:after="120"/>
        <w:ind w:left="1072" w:hanging="0"/>
        <w:jc w:val="both"/>
        <w:rPr>
          <w:color w:val="000000"/>
        </w:rPr>
      </w:pPr>
      <w:r>
        <w:rPr>
          <w:rFonts w:cs="Arial" w:ascii="Arial" w:hAnsi="Arial"/>
          <w:b/>
          <w:bCs/>
          <w:color w:val="000000"/>
          <w:sz w:val="20"/>
          <w:szCs w:val="20"/>
        </w:rPr>
        <w:t>8.2.6. N</w:t>
      </w:r>
      <w:r>
        <w:rPr>
          <w:rFonts w:eastAsia="Calibri" w:cs="Arial" w:ascii="Arial" w:hAnsi="Arial"/>
          <w:b/>
          <w:bCs/>
          <w:color w:val="000000"/>
          <w:sz w:val="20"/>
          <w:szCs w:val="20"/>
          <w:lang w:val="pt-BR" w:eastAsia="en-US" w:bidi="ar-SA"/>
        </w:rPr>
        <w:t>ão se aplica.</w:t>
      </w:r>
    </w:p>
    <w:p>
      <w:pPr>
        <w:pStyle w:val="Normal"/>
        <w:widowControl/>
        <w:bidi w:val="0"/>
        <w:spacing w:lineRule="auto" w:line="276" w:before="120" w:after="120"/>
        <w:ind w:left="1077" w:right="0" w:hanging="0"/>
        <w:jc w:val="both"/>
        <w:rPr>
          <w:color w:val="000000"/>
        </w:rPr>
      </w:pPr>
      <w:r>
        <w:rPr>
          <w:rFonts w:cs="Arial" w:ascii="Arial" w:hAnsi="Arial"/>
          <w:b/>
          <w:bCs/>
          <w:color w:val="000000"/>
          <w:sz w:val="20"/>
          <w:szCs w:val="20"/>
        </w:rPr>
        <w:t xml:space="preserve">8.2.7. </w:t>
      </w:r>
      <w:r>
        <w:rPr>
          <w:rFonts w:cs="Arial" w:ascii="Arial" w:hAnsi="Arial"/>
          <w:bCs/>
          <w:color w:val="000000"/>
          <w:sz w:val="20"/>
          <w:szCs w:val="20"/>
        </w:rPr>
        <w:t xml:space="preserve">Os </w:t>
      </w:r>
      <w:r>
        <w:rPr>
          <w:rFonts w:cs="Arial" w:ascii="Arial" w:hAnsi="Arial"/>
          <w:color w:val="000000"/>
          <w:sz w:val="20"/>
          <w:szCs w:val="20"/>
        </w:rPr>
        <w:t>documentos</w:t>
      </w:r>
      <w:r>
        <w:rPr>
          <w:rFonts w:cs="Arial" w:ascii="Arial" w:hAnsi="Arial"/>
          <w:bCs/>
          <w:color w:val="000000"/>
          <w:sz w:val="20"/>
          <w:szCs w:val="20"/>
        </w:rPr>
        <w:t xml:space="preserve"> apresentados deverão estar acompanhados de todas as alterações ou da consolidação respectiva.</w:t>
      </w:r>
    </w:p>
    <w:p>
      <w:pPr>
        <w:pStyle w:val="Normal"/>
        <w:widowControl/>
        <w:numPr>
          <w:ilvl w:val="0"/>
          <w:numId w:val="0"/>
        </w:numPr>
        <w:bidi w:val="0"/>
        <w:spacing w:lineRule="auto" w:line="276" w:before="120" w:after="120"/>
        <w:ind w:left="1020" w:right="0" w:hanging="0"/>
        <w:jc w:val="both"/>
        <w:rPr>
          <w:color w:val="000000"/>
        </w:rPr>
      </w:pPr>
      <w:r>
        <w:rPr>
          <w:rFonts w:cs="Arial" w:ascii="Arial" w:hAnsi="Arial"/>
          <w:b/>
          <w:color w:val="000000"/>
          <w:sz w:val="20"/>
          <w:szCs w:val="20"/>
        </w:rPr>
        <w:t>8.2.8. Habilitações fiscal, social e trabalhista:</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a) </w:t>
      </w:r>
      <w:r>
        <w:rPr>
          <w:rFonts w:cs="Arial" w:ascii="Arial" w:hAnsi="Arial"/>
          <w:color w:val="000000"/>
          <w:sz w:val="20"/>
          <w:szCs w:val="20"/>
        </w:rPr>
        <w:t>prova de inscrição no Cadastro de Pessoas Físicas (CPF);</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b) </w:t>
      </w:r>
      <w:r>
        <w:rPr>
          <w:rFonts w:cs="Arial" w:ascii="Arial" w:hAnsi="Arial"/>
          <w:color w:val="000000"/>
          <w:sz w:val="20"/>
          <w:szCs w:val="20"/>
        </w:rPr>
        <w:t>prova de inscrição no Cadastro Nacional da Pessoa Jurídica (CNPJ);</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c) </w:t>
      </w:r>
      <w:r>
        <w:rPr>
          <w:rFonts w:cs="Arial" w:ascii="Arial" w:hAnsi="Arial"/>
          <w:color w:val="000000"/>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d) </w:t>
      </w:r>
      <w:r>
        <w:rPr>
          <w:rFonts w:cs="Arial" w:ascii="Arial" w:hAnsi="Arial"/>
          <w:color w:val="000000"/>
          <w:sz w:val="20"/>
          <w:szCs w:val="20"/>
        </w:rPr>
        <w:t>prova de regularidade com o Fundo de Garantia do Tempo de Serviço (FGTS);</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e) </w:t>
      </w:r>
      <w:r>
        <w:rPr>
          <w:rFonts w:cs="Arial" w:ascii="Arial" w:hAnsi="Arial"/>
          <w:color w:val="000000"/>
          <w:sz w:val="20"/>
          <w:szCs w:val="20"/>
        </w:rPr>
        <w:t>declaração de 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f) </w:t>
      </w:r>
      <w:r>
        <w:rPr>
          <w:rFonts w:cs="Arial" w:ascii="Arial" w:hAnsi="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g) </w:t>
      </w:r>
      <w:r>
        <w:rPr>
          <w:rFonts w:cs="Arial" w:ascii="Arial" w:hAnsi="Arial"/>
          <w:color w:val="000000"/>
          <w:sz w:val="20"/>
          <w:szCs w:val="20"/>
        </w:rPr>
        <w:t xml:space="preserve">prova de inscrição no cadastro de contribuintes estadual, se houver, relativo ao domicílio ou sede do fornecedor, pertinente ao seu ramo de atividade e compatível com o objeto contratual; </w:t>
      </w:r>
    </w:p>
    <w:p>
      <w:pPr>
        <w:pStyle w:val="Normal"/>
        <w:spacing w:lineRule="auto" w:line="276" w:before="120" w:after="120"/>
        <w:ind w:left="2491" w:hanging="0"/>
        <w:jc w:val="both"/>
        <w:rPr>
          <w:color w:val="000000"/>
        </w:rPr>
      </w:pPr>
      <w:r>
        <w:rPr>
          <w:rFonts w:cs="Arial" w:ascii="Arial" w:hAnsi="Arial"/>
          <w:b/>
          <w:bCs/>
          <w:color w:val="000000"/>
          <w:sz w:val="20"/>
          <w:szCs w:val="20"/>
        </w:rPr>
        <w:t xml:space="preserve">8.2.9. </w:t>
      </w:r>
      <w:r>
        <w:rPr>
          <w:rFonts w:cs="Arial" w:ascii="Arial" w:hAnsi="Arial"/>
          <w:color w:val="000000"/>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8.3.1. </w:t>
      </w:r>
      <w:r>
        <w:rPr>
          <w:rFonts w:cs="Arial" w:ascii="Arial" w:hAnsi="Arial"/>
          <w:color w:val="000000"/>
          <w:sz w:val="20"/>
          <w:szCs w:val="20"/>
        </w:rPr>
        <w:t xml:space="preserve">prova de regularidade com a Fazenda Estadual ou Distrital do domicílio ou sede do fornecedor, relativa à atividade em cujo exercício contrata ou concorre; </w:t>
      </w:r>
    </w:p>
    <w:p>
      <w:pPr>
        <w:pStyle w:val="Normal"/>
        <w:spacing w:lineRule="auto" w:line="276" w:before="120" w:after="120"/>
        <w:ind w:left="2491" w:hanging="0"/>
        <w:jc w:val="both"/>
        <w:rPr>
          <w:color w:val="000000"/>
        </w:rPr>
      </w:pPr>
      <w:r>
        <w:rPr>
          <w:rFonts w:cs="Arial" w:ascii="Arial" w:hAnsi="Arial"/>
          <w:b/>
          <w:bCs/>
          <w:color w:val="000000"/>
          <w:sz w:val="20"/>
          <w:szCs w:val="20"/>
        </w:rPr>
        <w:t>8.3.2.</w:t>
      </w:r>
      <w:r>
        <w:rPr>
          <w:rFonts w:cs="Arial" w:ascii="Arial" w:hAnsi="Arial"/>
          <w:color w:val="000000"/>
          <w:sz w:val="20"/>
          <w:szCs w:val="20"/>
        </w:rPr>
        <w:tab/>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0"/>
          <w:numId w:val="0"/>
        </w:numPr>
        <w:spacing w:lineRule="auto" w:line="276" w:before="120" w:after="120"/>
        <w:ind w:left="425" w:hanging="0"/>
        <w:jc w:val="both"/>
        <w:rPr>
          <w:color w:val="000000"/>
        </w:rPr>
      </w:pPr>
      <w:r>
        <w:rPr>
          <w:rFonts w:cs="Arial" w:ascii="Arial" w:hAnsi="Arial"/>
          <w:b/>
          <w:bCs/>
          <w:color w:val="000000"/>
          <w:sz w:val="20"/>
          <w:szCs w:val="20"/>
        </w:rPr>
        <w:t>8.3.3.</w:t>
      </w:r>
      <w:r>
        <w:rPr>
          <w:rFonts w:cs="Arial" w:ascii="Arial" w:hAnsi="Arial"/>
          <w:color w:val="000000"/>
          <w:sz w:val="20"/>
          <w:szCs w:val="20"/>
        </w:rPr>
        <w:t xml:space="preserve"> Será exigida do fornecedor, ainda, a seguinte documentação complementar:</w:t>
      </w:r>
    </w:p>
    <w:p>
      <w:pPr>
        <w:pStyle w:val="Normal"/>
        <w:numPr>
          <w:ilvl w:val="0"/>
          <w:numId w:val="0"/>
        </w:numPr>
        <w:spacing w:lineRule="auto" w:line="276" w:before="120" w:after="120"/>
        <w:ind w:left="1922" w:hanging="0"/>
        <w:jc w:val="both"/>
        <w:rPr/>
      </w:pPr>
      <w:r>
        <w:rPr>
          <w:rFonts w:cs="Arial" w:ascii="Arial" w:hAnsi="Arial"/>
          <w:color w:val="000000"/>
          <w:sz w:val="20"/>
          <w:szCs w:val="20"/>
        </w:rPr>
        <w:t>a) A relação dos cooperados que atendem aos requisitos técnicos exigidos para a contratação e que executarão o contrato, com as respectivas atas de inscrição e a comprovação de que estão domiciliados na localidade da sede da</w:t>
      </w:r>
      <w:r>
        <w:rPr>
          <w:rFonts w:cs="Arial" w:ascii="Arial" w:hAnsi="Arial"/>
          <w:i/>
          <w:iCs/>
          <w:color w:val="FF0000"/>
          <w:sz w:val="20"/>
          <w:szCs w:val="20"/>
        </w:rPr>
        <w:t xml:space="preserve"> </w:t>
      </w:r>
      <w:r>
        <w:rPr>
          <w:rFonts w:cs="Arial" w:ascii="Arial" w:hAnsi="Arial"/>
          <w:color w:val="000000"/>
          <w:sz w:val="20"/>
          <w:szCs w:val="20"/>
        </w:rPr>
        <w:t>cooperativa, respeitado o disposto nos arts. 4º, inciso XI, 21, inciso I e 42, §§2º a 6º da Lei n. 5.764 de 1971;</w:t>
      </w:r>
    </w:p>
    <w:p>
      <w:pPr>
        <w:pStyle w:val="Normal"/>
        <w:numPr>
          <w:ilvl w:val="0"/>
          <w:numId w:val="0"/>
        </w:numPr>
        <w:spacing w:lineRule="auto" w:line="276" w:before="120" w:after="120"/>
        <w:ind w:left="1922" w:hanging="0"/>
        <w:jc w:val="both"/>
        <w:rPr>
          <w:color w:val="000000"/>
        </w:rPr>
      </w:pPr>
      <w:r>
        <w:rPr>
          <w:rFonts w:cs="Arial" w:ascii="Arial" w:hAnsi="Arial"/>
          <w:color w:val="000000"/>
          <w:sz w:val="20"/>
          <w:szCs w:val="20"/>
        </w:rPr>
        <w:t>b) A declaração de regularidade de situação do contribuinte individual – DRSCI, para cada um dos cooperados indicados;</w:t>
      </w:r>
    </w:p>
    <w:p>
      <w:pPr>
        <w:pStyle w:val="Normal"/>
        <w:numPr>
          <w:ilvl w:val="0"/>
          <w:numId w:val="0"/>
        </w:numPr>
        <w:spacing w:lineRule="auto" w:line="276" w:before="120" w:after="120"/>
        <w:ind w:left="1922" w:hanging="0"/>
        <w:jc w:val="both"/>
        <w:rPr>
          <w:color w:val="000000"/>
        </w:rPr>
      </w:pPr>
      <w:r>
        <w:rPr>
          <w:rFonts w:cs="Arial" w:ascii="Arial" w:hAnsi="Arial"/>
          <w:color w:val="000000"/>
          <w:sz w:val="20"/>
          <w:szCs w:val="20"/>
        </w:rPr>
        <w:t xml:space="preserve">c) A comprovação do capital social proporcional ao número de cooperados necessários à prestação do serviço; </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 xml:space="preserve">8.3.4. </w:t>
      </w:r>
      <w:r>
        <w:rPr>
          <w:rFonts w:cs="Arial" w:ascii="Arial" w:hAnsi="Arial"/>
          <w:color w:val="000000"/>
          <w:sz w:val="20"/>
          <w:szCs w:val="20"/>
        </w:rPr>
        <w:t>O registro previsto na Lei n. 5.764/71, art. 107;</w:t>
      </w:r>
    </w:p>
    <w:p>
      <w:pPr>
        <w:pStyle w:val="Normal"/>
        <w:numPr>
          <w:ilvl w:val="0"/>
          <w:numId w:val="0"/>
        </w:numPr>
        <w:spacing w:lineRule="auto" w:line="276" w:before="120" w:after="120"/>
        <w:ind w:left="1418" w:hanging="0"/>
        <w:jc w:val="both"/>
        <w:rPr>
          <w:color w:val="000000"/>
        </w:rPr>
      </w:pPr>
      <w:r>
        <w:rPr>
          <w:rFonts w:cs="Arial" w:ascii="Arial" w:hAnsi="Arial"/>
          <w:b/>
          <w:bCs/>
          <w:color w:val="000000"/>
          <w:sz w:val="20"/>
          <w:szCs w:val="20"/>
        </w:rPr>
        <w:t xml:space="preserve">8.3.5. </w:t>
      </w:r>
      <w:r>
        <w:rPr>
          <w:rFonts w:cs="Arial" w:ascii="Arial" w:hAnsi="Arial"/>
          <w:color w:val="000000"/>
          <w:sz w:val="20"/>
          <w:szCs w:val="20"/>
        </w:rPr>
        <w:t xml:space="preserve">A comprovação de integração das respectivas quotas-partes por parte dos cooperados que executarão o contrato; </w:t>
      </w:r>
    </w:p>
    <w:p>
      <w:pPr>
        <w:pStyle w:val="Normal"/>
        <w:spacing w:lineRule="auto" w:line="276" w:before="120" w:after="120"/>
        <w:ind w:left="1922" w:hanging="504"/>
        <w:jc w:val="both"/>
        <w:rPr>
          <w:color w:val="000000"/>
        </w:rPr>
      </w:pPr>
      <w:r>
        <w:rPr>
          <w:rFonts w:cs="Arial" w:ascii="Arial" w:hAnsi="Arial"/>
          <w:b/>
          <w:bCs/>
          <w:color w:val="000000"/>
          <w:sz w:val="20"/>
          <w:szCs w:val="20"/>
        </w:rPr>
        <w:t xml:space="preserve">8.3.6. </w:t>
      </w:r>
      <w:r>
        <w:rPr>
          <w:rFonts w:cs="Arial" w:ascii="Arial" w:hAnsi="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0"/>
          <w:numId w:val="0"/>
        </w:numPr>
        <w:spacing w:lineRule="auto" w:line="276" w:before="120" w:after="120"/>
        <w:ind w:left="1418" w:hanging="0"/>
        <w:jc w:val="both"/>
        <w:rPr>
          <w:color w:val="000000"/>
        </w:rPr>
      </w:pPr>
      <w:r>
        <w:rPr>
          <w:rFonts w:cs="Arial" w:ascii="Arial" w:hAnsi="Arial"/>
          <w:color w:val="000000"/>
          <w:sz w:val="20"/>
          <w:szCs w:val="20"/>
        </w:rPr>
        <w:t xml:space="preserve"> </w:t>
      </w:r>
      <w:r>
        <w:rPr>
          <w:rFonts w:cs="Arial" w:ascii="Arial" w:hAnsi="Arial"/>
          <w:b/>
          <w:bCs/>
          <w:color w:val="000000"/>
          <w:sz w:val="20"/>
          <w:szCs w:val="20"/>
        </w:rPr>
        <w:t>8.3.7</w:t>
      </w:r>
      <w:r>
        <w:rPr>
          <w:rFonts w:cs="Arial" w:ascii="Arial" w:hAnsi="Arial"/>
          <w:color w:val="000000"/>
          <w:sz w:val="20"/>
          <w:szCs w:val="20"/>
        </w:rPr>
        <w:t>. A última auditoria contábil-financeira da cooperativa, conforme dispõe o art. 112 da Lei n. 5.764/71 ou uma declaração, sob as penas da lei, de que tal auditoria não foi exigida pelo órgão fiscalizador.</w:t>
      </w:r>
    </w:p>
    <w:p>
      <w:pPr>
        <w:pStyle w:val="Nivel1"/>
        <w:numPr>
          <w:ilvl w:val="0"/>
          <w:numId w:val="0"/>
        </w:numPr>
        <w:spacing w:before="0" w:after="0"/>
        <w:ind w:left="360" w:hanging="0"/>
        <w:rPr>
          <w:color w:val="000000"/>
        </w:rPr>
      </w:pPr>
      <w:r>
        <w:rPr>
          <w:color w:val="000000"/>
          <w:sz w:val="20"/>
          <w:szCs w:val="20"/>
        </w:rPr>
        <w:t xml:space="preserve">9. FORMA E CRITÉRIOS DE SELEÇÃO DO FORNECEDOR (art. 6º, inciso XXIII, alínea ‘h’, da Lei n. 14.133/2021) </w:t>
      </w:r>
    </w:p>
    <w:p>
      <w:pPr>
        <w:pStyle w:val="Normal"/>
        <w:spacing w:before="0" w:after="0"/>
        <w:ind w:left="360" w:hanging="0"/>
        <w:rPr>
          <w:color w:val="000000"/>
          <w:sz w:val="20"/>
          <w:szCs w:val="20"/>
        </w:rPr>
      </w:pPr>
      <w:r>
        <w:rPr>
          <w:color w:val="000000"/>
          <w:sz w:val="20"/>
          <w:szCs w:val="20"/>
        </w:rPr>
      </w:r>
    </w:p>
    <w:p>
      <w:pPr>
        <w:pStyle w:val="Nivel2"/>
        <w:spacing w:before="0" w:after="0"/>
        <w:ind w:left="432" w:hanging="0"/>
        <w:rPr/>
      </w:pPr>
      <w:r>
        <w:rPr>
          <w:b/>
          <w:bCs/>
          <w:sz w:val="20"/>
          <w:szCs w:val="20"/>
        </w:rPr>
        <w:t xml:space="preserve">9.1. </w:t>
      </w:r>
      <w:r>
        <w:rPr>
          <w:sz w:val="20"/>
          <w:szCs w:val="20"/>
        </w:rPr>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ivel2"/>
        <w:spacing w:before="0" w:after="0"/>
        <w:ind w:left="432" w:hanging="0"/>
        <w:rPr/>
      </w:pPr>
      <w:r>
        <w:rPr>
          <w:rFonts w:eastAsia="Times New Roman"/>
          <w:b/>
          <w:bCs/>
          <w:sz w:val="20"/>
          <w:szCs w:val="20"/>
          <w:lang w:eastAsia="pt-BR"/>
        </w:rPr>
        <w:t xml:space="preserve">9.2. </w:t>
      </w:r>
      <w:r>
        <w:rPr>
          <w:rFonts w:eastAsia="Times New Roman"/>
          <w:sz w:val="20"/>
          <w:szCs w:val="20"/>
          <w:lang w:eastAsia="pt-BR"/>
        </w:rPr>
        <w:t xml:space="preserve">As exigências de habilitação jurídica, </w:t>
      </w:r>
      <w:r>
        <w:rPr>
          <w:rFonts w:eastAsia="WenQuanYi Micro Hei"/>
          <w:sz w:val="20"/>
          <w:szCs w:val="20"/>
          <w:lang w:eastAsia="zh-CN" w:bidi="hi-IN"/>
        </w:rPr>
        <w:t xml:space="preserve">fiscal, social e trabalhista </w:t>
      </w:r>
      <w:r>
        <w:rPr>
          <w:rFonts w:eastAsia="Times New Roman"/>
          <w:sz w:val="20"/>
          <w:szCs w:val="20"/>
          <w:lang w:eastAsia="pt-BR"/>
        </w:rPr>
        <w:t xml:space="preserve">são as usuais para a generalidade dos objetos, conforme disciplinado no Anexo I do Aviso de </w:t>
      </w:r>
      <w:r>
        <w:rPr>
          <w:sz w:val="20"/>
          <w:szCs w:val="20"/>
        </w:rPr>
        <w:t>Contratação</w:t>
      </w:r>
      <w:r>
        <w:rPr>
          <w:rFonts w:eastAsia="Times New Roman"/>
          <w:sz w:val="20"/>
          <w:szCs w:val="20"/>
          <w:lang w:eastAsia="pt-BR"/>
        </w:rPr>
        <w:t xml:space="preserve"> Direta.</w:t>
      </w:r>
    </w:p>
    <w:p>
      <w:pPr>
        <w:pStyle w:val="Nivel2"/>
        <w:spacing w:before="0" w:after="0"/>
        <w:ind w:left="432" w:hanging="0"/>
        <w:rPr/>
      </w:pPr>
      <w:r>
        <w:rPr>
          <w:rFonts w:eastAsia="Times New Roman"/>
          <w:b/>
          <w:bCs/>
          <w:sz w:val="20"/>
          <w:szCs w:val="20"/>
          <w:lang w:eastAsia="pt-BR"/>
        </w:rPr>
        <w:t xml:space="preserve">9.3. </w:t>
      </w:r>
      <w:r>
        <w:rPr>
          <w:rFonts w:eastAsia="Times New Roman"/>
          <w:sz w:val="20"/>
          <w:szCs w:val="20"/>
          <w:lang w:eastAsia="pt-BR"/>
        </w:rPr>
        <w:t>Os critérios de habilitação econômico-financeira a serem atendidos pelo fornecedor estão previstos no Anexo I do Aviso de Contratação Direta.</w:t>
      </w:r>
    </w:p>
    <w:p>
      <w:pPr>
        <w:pStyle w:val="Nivel2"/>
        <w:numPr>
          <w:ilvl w:val="0"/>
          <w:numId w:val="0"/>
        </w:numPr>
        <w:spacing w:before="0" w:after="0"/>
        <w:ind w:left="0" w:hanging="0"/>
        <w:rPr/>
      </w:pPr>
      <w:r>
        <w:rPr>
          <w:rFonts w:eastAsia="Times New Roman"/>
          <w:sz w:val="20"/>
          <w:szCs w:val="20"/>
          <w:lang w:eastAsia="pt-BR"/>
        </w:rPr>
        <w:t xml:space="preserve">    </w:t>
      </w:r>
      <w:r>
        <w:rPr>
          <w:rFonts w:eastAsia="Times New Roman"/>
          <w:b/>
          <w:bCs/>
          <w:sz w:val="20"/>
          <w:szCs w:val="20"/>
          <w:lang w:eastAsia="pt-BR"/>
        </w:rPr>
        <w:t xml:space="preserve">    </w:t>
      </w:r>
      <w:r>
        <w:rPr>
          <w:rFonts w:eastAsia="Times New Roman"/>
          <w:b/>
          <w:bCs/>
          <w:sz w:val="20"/>
          <w:szCs w:val="20"/>
          <w:lang w:eastAsia="pt-BR"/>
        </w:rPr>
        <w:t xml:space="preserve">9.4. </w:t>
      </w:r>
      <w:r>
        <w:rPr>
          <w:rFonts w:eastAsia="Times New Roman"/>
          <w:sz w:val="20"/>
          <w:szCs w:val="20"/>
          <w:lang w:eastAsia="pt-BR"/>
        </w:rPr>
        <w:t>Os critérios de habilitação técnica a serem atendidos pelo fornecedor serão:</w:t>
      </w:r>
    </w:p>
    <w:p>
      <w:pPr>
        <w:pStyle w:val="Nivel2"/>
        <w:numPr>
          <w:ilvl w:val="0"/>
          <w:numId w:val="0"/>
        </w:numPr>
        <w:spacing w:before="0" w:after="0"/>
        <w:ind w:left="1072" w:hanging="0"/>
        <w:rPr/>
      </w:pPr>
      <w:r>
        <w:rPr>
          <w:sz w:val="20"/>
          <w:szCs w:val="20"/>
        </w:rPr>
        <w:t>a) Comprovação</w:t>
      </w:r>
      <w:r>
        <w:rPr>
          <w:rFonts w:eastAsia="Times New Roman"/>
          <w:sz w:val="20"/>
          <w:szCs w:val="20"/>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0"/>
          <w:numId w:val="0"/>
        </w:numPr>
        <w:spacing w:before="0" w:after="0"/>
        <w:ind w:left="1072" w:hanging="0"/>
        <w:rPr/>
      </w:pPr>
      <w:r>
        <w:rPr>
          <w:sz w:val="20"/>
          <w:szCs w:val="20"/>
        </w:rPr>
        <w:t>b) Os atestados de capacidade técnica poderão ser apresentados em nome da matriz ou a filial do fornecedor.</w:t>
      </w:r>
    </w:p>
    <w:p>
      <w:pPr>
        <w:pStyle w:val="Nivel2"/>
        <w:numPr>
          <w:ilvl w:val="0"/>
          <w:numId w:val="0"/>
        </w:numPr>
        <w:spacing w:before="0" w:after="0"/>
        <w:ind w:left="1072" w:hanging="0"/>
        <w:rPr>
          <w:bCs/>
          <w:i/>
          <w:i/>
          <w:color w:val="FF0000"/>
          <w:sz w:val="20"/>
          <w:szCs w:val="20"/>
        </w:rPr>
      </w:pPr>
      <w:r>
        <w:rPr>
          <w:bCs/>
          <w:sz w:val="20"/>
          <w:szCs w:val="20"/>
        </w:rPr>
        <w:t xml:space="preserve">c) O fornecedor </w:t>
      </w:r>
      <w:r>
        <w:rPr>
          <w:sz w:val="20"/>
          <w:szCs w:val="20"/>
        </w:rPr>
        <w:t>disponibilizará</w:t>
      </w:r>
      <w:r>
        <w:rPr>
          <w:bCs/>
          <w:sz w:val="20"/>
          <w:szCs w:val="20"/>
        </w:rPr>
        <w:t xml:space="preserve"> todas as informações necessárias à </w:t>
      </w:r>
      <w:r>
        <w:rPr>
          <w:sz w:val="20"/>
          <w:szCs w:val="20"/>
        </w:rPr>
        <w:t>comprovação</w:t>
      </w:r>
      <w:r>
        <w:rPr>
          <w:bCs/>
          <w:sz w:val="20"/>
          <w:szCs w:val="20"/>
        </w:rPr>
        <w:t xml:space="preserve"> da legitimidade dos atestados, apresentando, quando solicitado pela Administração, </w:t>
      </w:r>
      <w:r>
        <w:rPr>
          <w:sz w:val="20"/>
          <w:szCs w:val="20"/>
        </w:rPr>
        <w:t>cópia</w:t>
      </w:r>
      <w:r>
        <w:rPr>
          <w:bCs/>
          <w:sz w:val="20"/>
          <w:szCs w:val="20"/>
        </w:rPr>
        <w:t xml:space="preserve"> do contrato que deu suporte à contratação, endereço atual da contratante e local em que foi executado o objeto contratado, dentre outros documentos.</w:t>
      </w:r>
    </w:p>
    <w:p>
      <w:pPr>
        <w:pStyle w:val="Nivel2"/>
        <w:numPr>
          <w:ilvl w:val="0"/>
          <w:numId w:val="0"/>
        </w:numPr>
        <w:spacing w:before="0" w:after="0"/>
        <w:ind w:left="930" w:hanging="0"/>
        <w:rPr>
          <w:sz w:val="16"/>
          <w:szCs w:val="16"/>
        </w:rPr>
      </w:pPr>
      <w:r>
        <w:rPr>
          <w:sz w:val="16"/>
          <w:szCs w:val="16"/>
        </w:rPr>
      </w:r>
    </w:p>
    <w:p>
      <w:pPr>
        <w:pStyle w:val="Nivel2"/>
        <w:numPr>
          <w:ilvl w:val="0"/>
          <w:numId w:val="0"/>
        </w:numPr>
        <w:spacing w:before="0" w:after="0"/>
        <w:ind w:left="1072" w:hanging="0"/>
        <w:rPr>
          <w:b/>
          <w:b/>
          <w:bCs/>
          <w:color w:val="000000"/>
        </w:rPr>
      </w:pPr>
      <w:r>
        <w:rPr>
          <w:rFonts w:cs="Arial"/>
          <w:b/>
          <w:bCs/>
          <w:i/>
          <w:color w:val="000000"/>
          <w:sz w:val="20"/>
          <w:szCs w:val="20"/>
        </w:rPr>
        <w:t>9.4.1. N</w:t>
      </w:r>
      <w:r>
        <w:rPr>
          <w:rFonts w:eastAsia="Calibri" w:cs="Arial"/>
          <w:b/>
          <w:bCs/>
          <w:i/>
          <w:color w:val="000000"/>
          <w:sz w:val="20"/>
          <w:szCs w:val="20"/>
          <w:lang w:val="pt-BR" w:eastAsia="en-US" w:bidi="ar-SA"/>
        </w:rPr>
        <w:t>ão se aplica.</w:t>
      </w:r>
    </w:p>
    <w:p>
      <w:pPr>
        <w:pStyle w:val="Nivel2"/>
        <w:spacing w:before="0" w:after="0"/>
        <w:rPr>
          <w:sz w:val="16"/>
          <w:szCs w:val="16"/>
        </w:rPr>
      </w:pPr>
      <w:r>
        <w:rPr>
          <w:sz w:val="16"/>
          <w:szCs w:val="16"/>
        </w:rPr>
      </w:r>
    </w:p>
    <w:p>
      <w:pPr>
        <w:pStyle w:val="Nivel2"/>
        <w:numPr>
          <w:ilvl w:val="0"/>
          <w:numId w:val="0"/>
        </w:numPr>
        <w:spacing w:before="0" w:after="0"/>
        <w:ind w:left="284" w:hanging="0"/>
        <w:rPr/>
      </w:pPr>
      <w:r>
        <w:rPr>
          <w:sz w:val="20"/>
          <w:szCs w:val="20"/>
        </w:rPr>
        <w:t xml:space="preserve">9.5. 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color w:val="000000"/>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b) Cadastro Nacional de Empresas Inidôneas e Suspensas - CEIS, mantido pela Controladoria-Geral da União (</w:t>
      </w:r>
      <w:hyperlink r:id="rId6">
        <w:r>
          <w:rPr>
            <w:rStyle w:val="LinkdaInternet"/>
            <w:rFonts w:cs="Arial" w:ascii="Arial" w:hAnsi="Arial"/>
            <w:color w:val="000000"/>
            <w:sz w:val="20"/>
            <w:szCs w:val="20"/>
            <w:lang w:eastAsia="ar-SA"/>
          </w:rPr>
          <w:t>www.portaldatransparencia.gov.br/ceis</w:t>
        </w:r>
      </w:hyperlink>
      <w:r>
        <w:rPr>
          <w:rFonts w:cs="Arial" w:ascii="Arial" w:hAnsi="Arial"/>
          <w:color w:val="000000"/>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c) Cadastro Nacional de Empresas Punidas – CNEP, mantido pela Controladoria-Geral da União (</w:t>
      </w:r>
      <w:hyperlink r:id="rId7">
        <w:r>
          <w:rPr>
            <w:rStyle w:val="LinkdaInternet"/>
            <w:rFonts w:cs="Arial" w:ascii="Arial" w:hAnsi="Arial"/>
            <w:color w:val="000000"/>
            <w:sz w:val="20"/>
            <w:szCs w:val="20"/>
            <w:lang w:eastAsia="ar-SA"/>
          </w:rPr>
          <w:t>https://www.portaltransparencia.gov.br/sancoes/cnep</w:t>
        </w:r>
      </w:hyperlink>
      <w:r>
        <w:rPr>
          <w:rFonts w:cs="Arial" w:ascii="Arial" w:hAnsi="Arial"/>
          <w:color w:val="000000"/>
          <w:sz w:val="20"/>
          <w:szCs w:val="20"/>
          <w:lang w:eastAsia="ar-SA"/>
        </w:rPr>
        <w:t>)</w:t>
      </w:r>
    </w:p>
    <w:p>
      <w:pPr>
        <w:pStyle w:val="Nivel2"/>
        <w:numPr>
          <w:ilvl w:val="0"/>
          <w:numId w:val="0"/>
        </w:numPr>
        <w:spacing w:before="0" w:after="0"/>
        <w:ind w:left="284" w:hanging="0"/>
        <w:rPr>
          <w:i/>
          <w:i/>
          <w:iCs/>
          <w:color w:val="FF0000"/>
          <w:sz w:val="20"/>
          <w:szCs w:val="20"/>
        </w:rPr>
      </w:pPr>
      <w:r>
        <w:rPr>
          <w:sz w:val="20"/>
          <w:szCs w:val="20"/>
        </w:rPr>
        <w:t>9.6.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0"/>
          <w:numId w:val="0"/>
        </w:numPr>
        <w:spacing w:before="0" w:after="0"/>
        <w:ind w:left="284" w:hanging="0"/>
        <w:rPr>
          <w:i/>
          <w:i/>
          <w:iCs/>
          <w:color w:val="FF0000"/>
          <w:sz w:val="20"/>
          <w:szCs w:val="20"/>
        </w:rPr>
      </w:pPr>
      <w:r>
        <w:rPr>
          <w:sz w:val="20"/>
          <w:szCs w:val="20"/>
        </w:rPr>
        <w:t>9.7. 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0"/>
          <w:numId w:val="0"/>
        </w:numPr>
        <w:spacing w:before="0" w:after="0"/>
        <w:ind w:left="284" w:hanging="0"/>
        <w:rPr>
          <w:i/>
          <w:i/>
          <w:iCs/>
          <w:color w:val="FF0000"/>
          <w:sz w:val="20"/>
          <w:szCs w:val="20"/>
        </w:rPr>
      </w:pPr>
      <w:r>
        <w:rPr>
          <w:sz w:val="20"/>
          <w:szCs w:val="20"/>
        </w:rPr>
        <w:t>9.8. A tentativa de burla será verificada por meio dos vínculos societários, linhas de fornecimento similares, dentre outros.</w:t>
      </w:r>
    </w:p>
    <w:p>
      <w:pPr>
        <w:pStyle w:val="Nivel2"/>
        <w:numPr>
          <w:ilvl w:val="0"/>
          <w:numId w:val="0"/>
        </w:numPr>
        <w:spacing w:before="0" w:after="0"/>
        <w:ind w:left="284" w:hanging="0"/>
        <w:rPr>
          <w:i/>
          <w:i/>
          <w:iCs/>
          <w:color w:val="FF0000"/>
          <w:sz w:val="20"/>
          <w:szCs w:val="20"/>
        </w:rPr>
      </w:pPr>
      <w:r>
        <w:rPr>
          <w:sz w:val="20"/>
          <w:szCs w:val="20"/>
        </w:rPr>
        <w:t>9.9. O fornecedor será convocado para manifestação previamente a uma eventual negativa de contratação.</w:t>
      </w:r>
    </w:p>
    <w:p>
      <w:pPr>
        <w:pStyle w:val="Nivel2"/>
        <w:numPr>
          <w:ilvl w:val="0"/>
          <w:numId w:val="0"/>
        </w:numPr>
        <w:spacing w:before="0" w:after="0"/>
        <w:ind w:left="284" w:hanging="0"/>
        <w:rPr>
          <w:i/>
          <w:i/>
          <w:iCs/>
          <w:color w:val="FF0000"/>
          <w:sz w:val="20"/>
          <w:szCs w:val="20"/>
        </w:rPr>
      </w:pPr>
      <w:r>
        <w:rPr>
          <w:sz w:val="20"/>
          <w:szCs w:val="20"/>
        </w:rPr>
        <w:t>9.10. Caso atendidas as condições para contratação, a habilitação do fornecedor será verificada por meio do SICAF, nos documentos por ele abrangidos.</w:t>
      </w:r>
    </w:p>
    <w:p>
      <w:pPr>
        <w:pStyle w:val="Nivel2"/>
        <w:numPr>
          <w:ilvl w:val="0"/>
          <w:numId w:val="0"/>
        </w:numPr>
        <w:spacing w:before="0" w:after="0"/>
        <w:ind w:left="284" w:hanging="0"/>
        <w:rPr>
          <w:i/>
          <w:i/>
          <w:iCs/>
          <w:color w:val="FF0000"/>
          <w:sz w:val="20"/>
          <w:szCs w:val="20"/>
        </w:rPr>
      </w:pPr>
      <w:r>
        <w:rPr>
          <w:sz w:val="20"/>
          <w:szCs w:val="20"/>
        </w:rPr>
        <w:t>9.11. É dever do fornecedor manter atualizada a respectiva documentação constante do SICAF, ou encaminhar, quando solicitado pela Administração, a respectiva documentação atualizada.</w:t>
      </w:r>
    </w:p>
    <w:p>
      <w:pPr>
        <w:pStyle w:val="Nivel2"/>
        <w:numPr>
          <w:ilvl w:val="0"/>
          <w:numId w:val="0"/>
        </w:numPr>
        <w:spacing w:before="0" w:after="0"/>
        <w:ind w:left="284" w:hanging="0"/>
        <w:rPr>
          <w:i/>
          <w:i/>
          <w:iCs/>
          <w:color w:val="FF0000"/>
          <w:sz w:val="20"/>
          <w:szCs w:val="20"/>
        </w:rPr>
      </w:pPr>
      <w:r>
        <w:rPr>
          <w:sz w:val="20"/>
          <w:szCs w:val="20"/>
        </w:rPr>
        <w:t>9.12. Não serão aceitos documentos de habilitação com indicação de CNPJ/CPF diferentes, salvo aqueles legalmente permitidos.</w:t>
      </w:r>
    </w:p>
    <w:p>
      <w:pPr>
        <w:pStyle w:val="Nivel2"/>
        <w:numPr>
          <w:ilvl w:val="0"/>
          <w:numId w:val="0"/>
        </w:numPr>
        <w:spacing w:before="0" w:after="0"/>
        <w:ind w:left="284" w:hanging="0"/>
        <w:rPr>
          <w:i/>
          <w:i/>
          <w:iCs/>
          <w:color w:val="FF0000"/>
          <w:sz w:val="20"/>
          <w:szCs w:val="20"/>
        </w:rPr>
      </w:pPr>
      <w:r>
        <w:rPr>
          <w:sz w:val="20"/>
          <w:szCs w:val="20"/>
        </w:rPr>
        <w:t>9.13.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0"/>
          <w:numId w:val="0"/>
        </w:numPr>
        <w:spacing w:before="0" w:after="0"/>
        <w:ind w:left="284" w:hanging="0"/>
        <w:rPr>
          <w:i/>
          <w:i/>
          <w:iCs/>
          <w:color w:val="FF0000"/>
          <w:sz w:val="20"/>
          <w:szCs w:val="20"/>
        </w:rPr>
      </w:pPr>
      <w:r>
        <w:rPr>
          <w:sz w:val="20"/>
          <w:szCs w:val="20"/>
        </w:rPr>
        <w:t>9.14. Serão aceitos registros de CNPJ de fornecedor matriz e filial com diferenças de números de documentos pertinentes ao CND e ao CRF/FGTS, quando for comprovada a centralização do recolhimento dessas contribuições.</w:t>
      </w:r>
    </w:p>
    <w:p>
      <w:pPr>
        <w:pStyle w:val="Nivel2"/>
        <w:numPr>
          <w:ilvl w:val="0"/>
          <w:numId w:val="0"/>
        </w:numPr>
        <w:spacing w:before="0" w:after="0"/>
        <w:ind w:left="284" w:hanging="0"/>
        <w:rPr/>
      </w:pPr>
      <w:r>
        <w:rPr>
          <w:sz w:val="20"/>
          <w:szCs w:val="20"/>
        </w:rPr>
        <w:t>9.15. Para fins de contratação, deverá o fornecedor comprovar os seguintes requisitos de habilitação:</w:t>
      </w:r>
    </w:p>
    <w:p>
      <w:pPr>
        <w:pStyle w:val="Nivel2"/>
        <w:spacing w:before="0" w:after="0"/>
        <w:ind w:left="284" w:hanging="0"/>
        <w:rPr/>
      </w:pPr>
      <w:r>
        <w:rPr>
          <w:b/>
          <w:sz w:val="20"/>
          <w:szCs w:val="20"/>
        </w:rPr>
        <w:t>9.16. Habilitação Jurídica</w:t>
      </w:r>
      <w:r>
        <w:rPr>
          <w:b/>
          <w:bCs/>
          <w:sz w:val="20"/>
          <w:szCs w:val="20"/>
        </w:rPr>
        <w:t xml:space="preserve">: </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9.16.1.Pessoa física:</w:t>
      </w:r>
      <w:r>
        <w:rPr>
          <w:rFonts w:cs="Arial" w:ascii="Arial" w:hAnsi="Arial"/>
          <w:color w:val="000000"/>
          <w:sz w:val="20"/>
          <w:szCs w:val="20"/>
        </w:rPr>
        <w:t xml:space="preserve">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9.16.2. Empresário individual</w:t>
      </w:r>
      <w:r>
        <w:rPr>
          <w:rFonts w:cs="Arial" w:ascii="Arial" w:hAnsi="Arial"/>
          <w:color w:val="000000"/>
          <w:sz w:val="20"/>
          <w:szCs w:val="20"/>
        </w:rPr>
        <w:t xml:space="preserve">: inscrição no Registro Público de Empresas Mercantis, a cargo da Junta Comercial da respectiva sede; </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9.16.3. Microempreendedor Individual - MEI</w:t>
      </w:r>
      <w:r>
        <w:rPr>
          <w:rFonts w:cs="Arial" w:ascii="Arial" w:hAnsi="Arial"/>
          <w:color w:val="000000"/>
          <w:sz w:val="20"/>
          <w:szCs w:val="20"/>
        </w:rPr>
        <w:t xml:space="preserve">: Certificado da Condição de Microempreendedor Individual - CCMEI, cuja aceitação ficará condicionada à verificação da autenticidade no sítio </w:t>
      </w:r>
      <w:hyperlink r:id="rId8">
        <w:r>
          <w:rPr>
            <w:rStyle w:val="LinkdaInternet"/>
            <w:rFonts w:cs="Arial" w:ascii="Arial" w:hAnsi="Arial"/>
            <w:color w:val="000000"/>
            <w:sz w:val="20"/>
            <w:szCs w:val="20"/>
          </w:rPr>
          <w:t>www.portaldoempreendedor.gov.br</w:t>
        </w:r>
      </w:hyperlink>
      <w:r>
        <w:rPr>
          <w:rFonts w:cs="Arial" w:ascii="Arial" w:hAnsi="Arial"/>
          <w:color w:val="000000"/>
          <w:sz w:val="20"/>
          <w:szCs w:val="20"/>
        </w:rPr>
        <w:t xml:space="preserve">; </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9.16.4. Sociedade empresária, sociedade limitada unipessoal – SLU ou sociedade identificada como empresa individual de responsabilidade limitada - EIRELI</w:t>
      </w:r>
      <w:r>
        <w:rPr>
          <w:rFonts w:cs="Arial" w:ascii="Arial" w:hAnsi="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9.16.5. Sociedade empresária estrangeira com atuação permanente no País</w:t>
      </w:r>
      <w:r>
        <w:rPr>
          <w:rFonts w:cs="Arial" w:ascii="Arial" w:hAnsi="Arial"/>
          <w:color w:val="000000"/>
          <w:sz w:val="20"/>
          <w:szCs w:val="20"/>
        </w:rPr>
        <w:t>: decreto de autorização para funcionamento no Brasil;</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9.16.6. Sociedade simples</w:t>
      </w:r>
      <w:r>
        <w:rPr>
          <w:rFonts w:cs="Arial" w:ascii="Arial" w:hAnsi="Arial"/>
          <w:color w:val="000000"/>
          <w:sz w:val="20"/>
          <w:szCs w:val="20"/>
        </w:rPr>
        <w:t>: inscrição do ato constitutivo no Registro Civil de Pessoas Jurídicas do local de sua sede, acompanhada de documento comprobatório de seus administradores;</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9.16.7. Filial, sucursal ou agência</w:t>
      </w:r>
      <w:r>
        <w:rPr>
          <w:rFonts w:cs="Arial" w:ascii="Arial" w:hAnsi="Arial"/>
          <w:color w:val="000000"/>
          <w:sz w:val="20"/>
          <w:szCs w:val="20"/>
        </w:rPr>
        <w:t xml:space="preserve"> </w:t>
      </w:r>
      <w:r>
        <w:rPr>
          <w:rFonts w:cs="Arial" w:ascii="Arial" w:hAnsi="Arial"/>
          <w:b/>
          <w:color w:val="000000"/>
          <w:sz w:val="20"/>
          <w:szCs w:val="20"/>
        </w:rPr>
        <w:t>de sociedade simples ou empresária</w:t>
      </w:r>
      <w:r>
        <w:rPr>
          <w:rFonts w:cs="Arial" w:ascii="Arial" w:hAnsi="Arial"/>
          <w:color w:val="00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9.16.8. Sociedade cooperativa</w:t>
      </w:r>
      <w:r>
        <w:rPr>
          <w:rFonts w:cs="Arial" w:ascii="Arial" w:hAnsi="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numPr>
          <w:ilvl w:val="0"/>
          <w:numId w:val="0"/>
        </w:numPr>
        <w:spacing w:lineRule="auto" w:line="276" w:before="120" w:after="120"/>
        <w:ind w:left="1072" w:hanging="0"/>
        <w:jc w:val="both"/>
        <w:rPr>
          <w:color w:val="000000"/>
        </w:rPr>
      </w:pPr>
      <w:r>
        <w:rPr>
          <w:rFonts w:cs="Arial" w:ascii="Arial" w:hAnsi="Arial"/>
          <w:b/>
          <w:bCs/>
          <w:color w:val="000000"/>
          <w:sz w:val="20"/>
          <w:szCs w:val="20"/>
        </w:rPr>
        <w:t>9.16.7. N</w:t>
      </w:r>
      <w:r>
        <w:rPr>
          <w:rFonts w:eastAsia="Calibri" w:cs="Arial" w:ascii="Arial" w:hAnsi="Arial"/>
          <w:b/>
          <w:bCs/>
          <w:color w:val="000000"/>
          <w:sz w:val="20"/>
          <w:szCs w:val="20"/>
          <w:lang w:val="pt-BR" w:eastAsia="en-US" w:bidi="ar-SA"/>
        </w:rPr>
        <w:t>ão se aplica.</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9.17. </w:t>
      </w:r>
      <w:r>
        <w:rPr>
          <w:rFonts w:cs="Arial" w:ascii="Arial" w:hAnsi="Arial"/>
          <w:bCs/>
          <w:color w:val="000000"/>
          <w:sz w:val="20"/>
          <w:szCs w:val="20"/>
        </w:rPr>
        <w:t xml:space="preserve">Os </w:t>
      </w:r>
      <w:r>
        <w:rPr>
          <w:rFonts w:cs="Arial" w:ascii="Arial" w:hAnsi="Arial"/>
          <w:color w:val="000000"/>
          <w:sz w:val="20"/>
          <w:szCs w:val="20"/>
        </w:rPr>
        <w:t>documentos</w:t>
      </w:r>
      <w:r>
        <w:rPr>
          <w:rFonts w:cs="Arial" w:ascii="Arial" w:hAnsi="Arial"/>
          <w:bCs/>
          <w:color w:val="000000"/>
          <w:sz w:val="20"/>
          <w:szCs w:val="20"/>
        </w:rPr>
        <w:t xml:space="preserve"> apresentados deverão estar acompanhados de todas as alterações ou da consolidação respectiva.</w:t>
      </w:r>
    </w:p>
    <w:p>
      <w:pPr>
        <w:pStyle w:val="Normal"/>
        <w:numPr>
          <w:ilvl w:val="0"/>
          <w:numId w:val="0"/>
        </w:numPr>
        <w:spacing w:lineRule="auto" w:line="276" w:before="120" w:after="120"/>
        <w:ind w:left="425" w:hanging="0"/>
        <w:jc w:val="both"/>
        <w:rPr>
          <w:color w:val="000000"/>
        </w:rPr>
      </w:pPr>
      <w:r>
        <w:rPr>
          <w:rFonts w:cs="Arial" w:ascii="Arial" w:hAnsi="Arial"/>
          <w:b/>
          <w:color w:val="000000"/>
          <w:sz w:val="20"/>
          <w:szCs w:val="20"/>
        </w:rPr>
        <w:t xml:space="preserve">         </w:t>
      </w:r>
      <w:r>
        <w:rPr>
          <w:rFonts w:cs="Arial" w:ascii="Arial" w:hAnsi="Arial"/>
          <w:b/>
          <w:color w:val="000000"/>
          <w:sz w:val="20"/>
          <w:szCs w:val="20"/>
        </w:rPr>
        <w:t>9.18. Habilitações fiscal, social e trabalhista:</w:t>
      </w:r>
    </w:p>
    <w:p>
      <w:pPr>
        <w:pStyle w:val="Normal"/>
        <w:spacing w:lineRule="auto" w:line="276" w:before="120" w:after="120"/>
        <w:ind w:left="930" w:hanging="0"/>
        <w:jc w:val="both"/>
        <w:rPr>
          <w:color w:val="000000"/>
        </w:rPr>
      </w:pPr>
      <w:r>
        <w:rPr>
          <w:rFonts w:cs="Arial" w:ascii="Arial" w:hAnsi="Arial"/>
          <w:b/>
          <w:bCs/>
          <w:color w:val="000000"/>
          <w:sz w:val="20"/>
          <w:szCs w:val="20"/>
        </w:rPr>
        <w:t>9.18.1.</w:t>
      </w:r>
      <w:r>
        <w:rPr>
          <w:rFonts w:cs="Arial" w:ascii="Arial" w:hAnsi="Arial"/>
          <w:color w:val="000000"/>
          <w:sz w:val="20"/>
          <w:szCs w:val="20"/>
        </w:rPr>
        <w:tab/>
        <w:t>prova de inscrição no Cadastro de Pessoas Físicas (CPF);</w:t>
      </w:r>
    </w:p>
    <w:p>
      <w:pPr>
        <w:pStyle w:val="Normal"/>
        <w:spacing w:lineRule="auto" w:line="276" w:before="120" w:after="120"/>
        <w:ind w:left="930" w:hanging="0"/>
        <w:jc w:val="both"/>
        <w:rPr>
          <w:color w:val="000000"/>
        </w:rPr>
      </w:pPr>
      <w:r>
        <w:rPr>
          <w:rFonts w:cs="Arial" w:ascii="Arial" w:hAnsi="Arial"/>
          <w:b/>
          <w:bCs/>
          <w:color w:val="000000"/>
          <w:sz w:val="20"/>
          <w:szCs w:val="20"/>
        </w:rPr>
        <w:t>9.18.2.</w:t>
      </w:r>
      <w:r>
        <w:rPr>
          <w:rFonts w:cs="Arial" w:ascii="Arial" w:hAnsi="Arial"/>
          <w:color w:val="000000"/>
          <w:sz w:val="20"/>
          <w:szCs w:val="20"/>
        </w:rPr>
        <w:tab/>
        <w:t>prova de inscrição no Cadastro Nacional da Pessoa Jurídica (CNPJ);</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9.18.3.</w:t>
      </w:r>
      <w:r>
        <w:rPr>
          <w:rFonts w:cs="Arial" w:ascii="Arial" w:hAnsi="Arial"/>
          <w:color w:val="000000"/>
          <w:sz w:val="20"/>
          <w:szCs w:val="20"/>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9.18.4.</w:t>
      </w:r>
      <w:r>
        <w:rPr>
          <w:rFonts w:cs="Arial" w:ascii="Arial" w:hAnsi="Arial"/>
          <w:color w:val="000000"/>
          <w:sz w:val="20"/>
          <w:szCs w:val="20"/>
        </w:rPr>
        <w:tab/>
        <w:t>prova de regularidade com o Fundo de Garantia do Tempo de Serviço (FGTS);</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9.18.5. </w:t>
      </w:r>
      <w:r>
        <w:rPr>
          <w:rFonts w:cs="Arial" w:ascii="Arial" w:hAnsi="Arial"/>
          <w:color w:val="000000"/>
          <w:sz w:val="20"/>
          <w:szCs w:val="20"/>
        </w:rPr>
        <w:tab/>
        <w:t>declaração de 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9.18.6.</w:t>
      </w:r>
      <w:r>
        <w:rPr>
          <w:rFonts w:cs="Arial" w:ascii="Arial" w:hAnsi="Arial"/>
          <w:color w:val="000000"/>
          <w:sz w:val="20"/>
          <w:szCs w:val="20"/>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276" w:before="120" w:after="120"/>
        <w:ind w:left="930" w:hanging="0"/>
        <w:jc w:val="both"/>
        <w:rPr>
          <w:color w:val="000000"/>
        </w:rPr>
      </w:pPr>
      <w:r>
        <w:rPr>
          <w:rFonts w:cs="Arial" w:ascii="Arial" w:hAnsi="Arial"/>
          <w:b/>
          <w:bCs/>
          <w:color w:val="000000"/>
          <w:sz w:val="20"/>
          <w:szCs w:val="20"/>
        </w:rPr>
        <w:t>9.18.7.</w:t>
        <w:tab/>
      </w:r>
      <w:r>
        <w:rPr>
          <w:rFonts w:cs="Arial" w:ascii="Arial" w:hAnsi="Arial"/>
          <w:color w:val="000000"/>
          <w:sz w:val="20"/>
          <w:szCs w:val="20"/>
        </w:rPr>
        <w:t xml:space="preserve">prova de inscrição no cadastro de contribuintes estadual, se houver, relativo ao domicílio ou sede do fornecedor, pertinente ao seu ramo de atividade e compatível com o objeto contratual; </w:t>
      </w:r>
    </w:p>
    <w:p>
      <w:pPr>
        <w:pStyle w:val="Normal"/>
        <w:spacing w:lineRule="auto" w:line="276" w:before="120" w:after="120"/>
        <w:ind w:left="2491" w:hanging="0"/>
        <w:jc w:val="both"/>
        <w:rPr>
          <w:color w:val="000000"/>
        </w:rPr>
      </w:pPr>
      <w:r>
        <w:rPr>
          <w:rFonts w:cs="Arial" w:ascii="Arial" w:hAnsi="Arial"/>
          <w:b/>
          <w:bCs/>
          <w:color w:val="000000"/>
          <w:sz w:val="20"/>
          <w:szCs w:val="20"/>
        </w:rPr>
        <w:t>9.19.</w:t>
      </w:r>
      <w:r>
        <w:rPr>
          <w:rFonts w:cs="Arial" w:ascii="Arial" w:hAnsi="Arial"/>
          <w:color w:val="000000"/>
          <w:sz w:val="20"/>
          <w:szCs w:val="20"/>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930" w:hanging="0"/>
        <w:jc w:val="both"/>
        <w:rPr>
          <w:color w:val="000000"/>
        </w:rPr>
      </w:pPr>
      <w:r>
        <w:rPr>
          <w:rFonts w:cs="Arial" w:ascii="Arial" w:hAnsi="Arial"/>
          <w:b/>
          <w:bCs/>
          <w:color w:val="000000"/>
          <w:sz w:val="20"/>
          <w:szCs w:val="20"/>
        </w:rPr>
        <w:tab/>
        <w:tab/>
        <w:t>9.20.</w:t>
      </w:r>
      <w:r>
        <w:rPr>
          <w:rFonts w:cs="Arial" w:ascii="Arial" w:hAnsi="Arial"/>
          <w:color w:val="000000"/>
          <w:sz w:val="20"/>
          <w:szCs w:val="20"/>
        </w:rPr>
        <w:tab/>
        <w:t xml:space="preserve">prova de regularidade com a Fazenda Estadual ou Distrital do </w:t>
        <w:tab/>
        <w:tab/>
        <w:t xml:space="preserve">domicílio ou sede do fornecedor, relativa à atividade em cujo exercício contrata ou </w:t>
        <w:tab/>
        <w:t xml:space="preserve">concorre; </w:t>
      </w:r>
    </w:p>
    <w:p>
      <w:pPr>
        <w:pStyle w:val="Normal"/>
        <w:spacing w:lineRule="auto" w:line="276" w:before="120" w:after="120"/>
        <w:ind w:left="2491" w:hanging="0"/>
        <w:jc w:val="both"/>
        <w:rPr>
          <w:color w:val="000000"/>
        </w:rPr>
      </w:pPr>
      <w:r>
        <w:rPr>
          <w:rFonts w:cs="Arial" w:ascii="Arial" w:hAnsi="Arial"/>
          <w:b/>
          <w:bCs/>
          <w:color w:val="000000"/>
          <w:sz w:val="20"/>
          <w:szCs w:val="20"/>
        </w:rPr>
        <w:t>9.21.</w:t>
      </w:r>
      <w:r>
        <w:rPr>
          <w:rFonts w:cs="Arial" w:ascii="Arial" w:hAnsi="Arial"/>
          <w:color w:val="000000"/>
          <w:sz w:val="20"/>
          <w:szCs w:val="20"/>
        </w:rPr>
        <w:t xml:space="preserve"> 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0"/>
          <w:numId w:val="0"/>
        </w:numPr>
        <w:spacing w:lineRule="auto" w:line="276" w:before="120" w:after="120"/>
        <w:ind w:left="425" w:hanging="0"/>
        <w:jc w:val="both"/>
        <w:rPr>
          <w:color w:val="000000"/>
        </w:rPr>
      </w:pPr>
      <w:r>
        <w:rPr>
          <w:rFonts w:cs="Arial" w:ascii="Arial" w:hAnsi="Arial"/>
          <w:b/>
          <w:bCs/>
          <w:color w:val="000000"/>
          <w:sz w:val="20"/>
          <w:szCs w:val="20"/>
        </w:rPr>
        <w:t>9.22</w:t>
      </w:r>
      <w:r>
        <w:rPr>
          <w:rFonts w:cs="Arial" w:ascii="Arial" w:hAnsi="Arial"/>
          <w:color w:val="000000"/>
          <w:sz w:val="20"/>
          <w:szCs w:val="20"/>
        </w:rPr>
        <w:t>. Será exigida do fornecedor, ainda, a seguinte documentação complementar:</w:t>
      </w:r>
    </w:p>
    <w:p>
      <w:pPr>
        <w:pStyle w:val="Normal"/>
        <w:numPr>
          <w:ilvl w:val="0"/>
          <w:numId w:val="0"/>
        </w:numPr>
        <w:spacing w:lineRule="auto" w:line="276" w:before="120" w:after="120"/>
        <w:ind w:left="1922" w:hanging="0"/>
        <w:jc w:val="both"/>
        <w:rPr/>
      </w:pPr>
      <w:r>
        <w:rPr>
          <w:rFonts w:cs="Arial" w:ascii="Arial" w:hAnsi="Arial"/>
          <w:b/>
          <w:bCs/>
          <w:color w:val="000000"/>
          <w:sz w:val="20"/>
          <w:szCs w:val="20"/>
        </w:rPr>
        <w:t xml:space="preserve">9.22.1 </w:t>
      </w:r>
      <w:r>
        <w:rPr>
          <w:rFonts w:cs="Arial" w:ascii="Arial" w:hAnsi="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w:t>
      </w:r>
      <w:r>
        <w:rPr>
          <w:rFonts w:cs="Arial" w:ascii="Arial" w:hAnsi="Arial"/>
          <w:i/>
          <w:iCs/>
          <w:color w:val="FF0000"/>
          <w:sz w:val="20"/>
          <w:szCs w:val="20"/>
        </w:rPr>
        <w:t xml:space="preserve"> </w:t>
      </w:r>
      <w:r>
        <w:rPr>
          <w:rFonts w:cs="Arial" w:ascii="Arial" w:hAnsi="Arial"/>
          <w:color w:val="000000"/>
          <w:sz w:val="20"/>
          <w:szCs w:val="20"/>
        </w:rPr>
        <w:t>cooperativa, respeitado o disposto nos arts. 4º, inciso XI, 21, inciso I e 42, §§2º a 6º da Lei n. 5.764 de 1971;</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9.22.2</w:t>
      </w:r>
      <w:r>
        <w:rPr>
          <w:rFonts w:cs="Arial" w:ascii="Arial" w:hAnsi="Arial"/>
          <w:color w:val="000000"/>
          <w:sz w:val="20"/>
          <w:szCs w:val="20"/>
        </w:rPr>
        <w:t xml:space="preserve"> A declaração de regularidade de situação do contribuinte individual – DRSCI, para cada um dos cooperados indicados;</w:t>
      </w:r>
    </w:p>
    <w:p>
      <w:pPr>
        <w:pStyle w:val="Normal"/>
        <w:numPr>
          <w:ilvl w:val="0"/>
          <w:numId w:val="0"/>
        </w:numPr>
        <w:spacing w:lineRule="auto" w:line="276" w:before="120" w:after="120"/>
        <w:ind w:left="1418" w:hanging="0"/>
        <w:jc w:val="both"/>
        <w:rPr>
          <w:color w:val="000000"/>
        </w:rPr>
      </w:pPr>
      <w:r>
        <w:rPr>
          <w:rFonts w:cs="Arial" w:ascii="Arial" w:hAnsi="Arial"/>
          <w:color w:val="000000"/>
          <w:sz w:val="20"/>
          <w:szCs w:val="20"/>
        </w:rPr>
        <w:t xml:space="preserve">19.22.3 A comprovação do capital social proporcional ao número de cooperados necessários à prestação do serviço; </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 xml:space="preserve">9.22.4 </w:t>
      </w:r>
      <w:r>
        <w:rPr>
          <w:rFonts w:cs="Arial" w:ascii="Arial" w:hAnsi="Arial"/>
          <w:color w:val="000000"/>
          <w:sz w:val="20"/>
          <w:szCs w:val="20"/>
        </w:rPr>
        <w:t>O registro previsto na Lei n. 5.764/71, art. 107;</w:t>
      </w:r>
    </w:p>
    <w:p>
      <w:pPr>
        <w:pStyle w:val="Normal"/>
        <w:numPr>
          <w:ilvl w:val="0"/>
          <w:numId w:val="0"/>
        </w:numPr>
        <w:spacing w:lineRule="auto" w:line="276" w:before="120" w:after="120"/>
        <w:ind w:left="1418" w:hanging="0"/>
        <w:jc w:val="both"/>
        <w:rPr>
          <w:color w:val="000000"/>
        </w:rPr>
      </w:pPr>
      <w:r>
        <w:rPr>
          <w:rFonts w:cs="Arial" w:ascii="Arial" w:hAnsi="Arial"/>
          <w:color w:val="000000"/>
          <w:sz w:val="20"/>
          <w:szCs w:val="20"/>
        </w:rPr>
        <w:t xml:space="preserve">19.22.5. A comprovação de integração das respectivas quotas-partes por parte dos cooperados que executarão o contrato; </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 xml:space="preserve">9.22.6 </w:t>
      </w:r>
      <w:r>
        <w:rPr>
          <w:rFonts w:cs="Arial" w:ascii="Arial" w:hAnsi="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 xml:space="preserve">9.22.7. </w:t>
      </w:r>
      <w:r>
        <w:rPr>
          <w:rFonts w:cs="Arial" w:ascii="Arial" w:hAnsi="Arial"/>
          <w:color w:val="000000"/>
          <w:sz w:val="20"/>
          <w:szCs w:val="20"/>
        </w:rPr>
        <w:t>A última auditoria contábil-financeira da cooperativa, conforme dispõe o art. 112 da Lei n. 5.764/71 ou uma declaração, sob as penas da lei, de que tal auditoria não foi exigida pelo órgão fiscalizador.</w:t>
      </w:r>
    </w:p>
    <w:p>
      <w:pPr>
        <w:pStyle w:val="Nivel1"/>
        <w:numPr>
          <w:ilvl w:val="0"/>
          <w:numId w:val="0"/>
        </w:numPr>
        <w:spacing w:before="0" w:after="0"/>
        <w:ind w:left="360" w:hanging="0"/>
        <w:rPr>
          <w:sz w:val="20"/>
          <w:szCs w:val="20"/>
        </w:rPr>
      </w:pPr>
      <w:r>
        <w:rPr>
          <w:sz w:val="20"/>
          <w:szCs w:val="20"/>
        </w:rPr>
      </w:r>
    </w:p>
    <w:p>
      <w:pPr>
        <w:pStyle w:val="Nivel1"/>
        <w:numPr>
          <w:ilvl w:val="0"/>
          <w:numId w:val="0"/>
        </w:numPr>
        <w:spacing w:before="0" w:after="0"/>
        <w:ind w:left="360" w:hanging="0"/>
        <w:rPr>
          <w:sz w:val="20"/>
          <w:szCs w:val="20"/>
        </w:rPr>
      </w:pPr>
      <w:r>
        <w:rPr>
          <w:sz w:val="20"/>
          <w:szCs w:val="20"/>
        </w:rPr>
        <w:t xml:space="preserve">10. ADEQUAÇÃO ORÇAMENTÁRIA </w:t>
      </w:r>
    </w:p>
    <w:p>
      <w:pPr>
        <w:pStyle w:val="ListParagraph"/>
        <w:spacing w:lineRule="auto" w:line="276" w:before="0" w:after="0"/>
        <w:ind w:left="1152" w:hanging="0"/>
        <w:contextualSpacing/>
        <w:jc w:val="both"/>
        <w:rPr/>
      </w:pPr>
      <w:r>
        <w:rPr>
          <w:rFonts w:cs="Arial" w:ascii="Arial" w:hAnsi="Arial"/>
          <w:b/>
          <w:bCs/>
          <w:sz w:val="20"/>
          <w:szCs w:val="20"/>
        </w:rPr>
        <w:t>10.1.</w:t>
      </w:r>
      <w:r>
        <w:rPr>
          <w:rFonts w:cs="Arial" w:ascii="Arial" w:hAnsi="Arial"/>
          <w:sz w:val="20"/>
          <w:szCs w:val="20"/>
        </w:rPr>
        <w:tab/>
        <w:t>As despesas decorrentes da presente contratação correrão à conta de recursos específicos consignados no Orçamento Geral da União.</w:t>
      </w:r>
    </w:p>
    <w:p>
      <w:pPr>
        <w:pStyle w:val="ListParagraph"/>
        <w:spacing w:lineRule="auto" w:line="276" w:before="0" w:after="0"/>
        <w:ind w:left="1152" w:hanging="0"/>
        <w:contextualSpacing/>
        <w:jc w:val="both"/>
        <w:rPr/>
      </w:pPr>
      <w:r>
        <w:rPr>
          <w:rFonts w:cs="Arial" w:ascii="Arial" w:hAnsi="Arial"/>
          <w:b/>
          <w:bCs/>
          <w:iCs/>
          <w:sz w:val="20"/>
          <w:szCs w:val="20"/>
        </w:rPr>
        <w:t>10.2.</w:t>
      </w:r>
      <w:r>
        <w:rPr>
          <w:rFonts w:cs="Arial" w:ascii="Arial" w:hAnsi="Arial"/>
          <w:iCs/>
          <w:sz w:val="20"/>
          <w:szCs w:val="20"/>
        </w:rPr>
        <w:tab/>
        <w:t>A contratação será atendida pela seguinte dotação:</w:t>
      </w:r>
    </w:p>
    <w:p>
      <w:pPr>
        <w:pStyle w:val="Normal"/>
        <w:spacing w:lineRule="auto" w:line="276" w:before="0" w:after="0"/>
        <w:ind w:left="1133" w:firstLine="283"/>
        <w:jc w:val="both"/>
        <w:rPr>
          <w:rFonts w:ascii="Arial" w:hAnsi="Arial" w:cs="Arial"/>
          <w:iCs/>
          <w:sz w:val="16"/>
          <w:szCs w:val="16"/>
        </w:rPr>
      </w:pPr>
      <w:r>
        <w:rPr>
          <w:rFonts w:cs="Arial" w:ascii="Arial" w:hAnsi="Arial"/>
          <w:iCs/>
          <w:sz w:val="16"/>
          <w:szCs w:val="16"/>
        </w:rPr>
      </w:r>
    </w:p>
    <w:p>
      <w:pPr>
        <w:pStyle w:val="Normal"/>
        <w:spacing w:lineRule="auto" w:line="276" w:before="0" w:after="0"/>
        <w:ind w:left="1133" w:firstLine="283"/>
        <w:jc w:val="both"/>
        <w:rPr>
          <w:i w:val="false"/>
          <w:i w:val="false"/>
          <w:iCs w:val="false"/>
          <w:color w:val="000000"/>
        </w:rPr>
      </w:pPr>
      <w:r>
        <w:rPr>
          <w:rFonts w:cs="Arial" w:ascii="Arial" w:hAnsi="Arial"/>
          <w:i w:val="false"/>
          <w:iCs w:val="false"/>
          <w:color w:val="000000"/>
          <w:sz w:val="20"/>
          <w:szCs w:val="20"/>
        </w:rPr>
        <w:t>Gestão/Unidade: 83000;</w:t>
      </w:r>
    </w:p>
    <w:p>
      <w:pPr>
        <w:pStyle w:val="Normal"/>
        <w:spacing w:lineRule="auto" w:line="276" w:before="0" w:after="0"/>
        <w:ind w:left="850" w:firstLine="566"/>
        <w:jc w:val="both"/>
        <w:rPr>
          <w:i w:val="false"/>
          <w:i w:val="false"/>
          <w:iCs w:val="false"/>
          <w:color w:val="000000"/>
        </w:rPr>
      </w:pPr>
      <w:r>
        <w:rPr>
          <w:rFonts w:cs="Arial" w:ascii="Arial" w:hAnsi="Arial"/>
          <w:i w:val="false"/>
          <w:iCs w:val="false"/>
          <w:color w:val="000000"/>
          <w:sz w:val="20"/>
          <w:szCs w:val="20"/>
        </w:rPr>
        <w:t>Fonte de Recursos: 1005000144;</w:t>
      </w:r>
    </w:p>
    <w:p>
      <w:pPr>
        <w:pStyle w:val="Normal"/>
        <w:spacing w:lineRule="auto" w:line="276" w:before="0" w:after="0"/>
        <w:ind w:left="1133" w:firstLine="283"/>
        <w:jc w:val="both"/>
        <w:rPr/>
      </w:pPr>
      <w:r>
        <w:rPr>
          <w:rFonts w:cs="Arial" w:ascii="Arial" w:hAnsi="Arial"/>
          <w:i w:val="false"/>
          <w:iCs w:val="false"/>
          <w:color w:val="000000"/>
          <w:sz w:val="20"/>
          <w:szCs w:val="20"/>
        </w:rPr>
        <w:t>Programa de Trabalho: PROGRAMA DE ATENDIMENTO ESPECIAL</w:t>
      </w:r>
    </w:p>
    <w:p>
      <w:pPr>
        <w:pStyle w:val="Normal"/>
        <w:spacing w:lineRule="auto" w:line="276" w:before="0" w:after="0"/>
        <w:ind w:left="850" w:firstLine="566"/>
        <w:jc w:val="both"/>
        <w:rPr>
          <w:b w:val="false"/>
          <w:b w:val="false"/>
          <w:bCs w:val="false"/>
          <w:color w:val="000000"/>
        </w:rPr>
      </w:pPr>
      <w:r>
        <w:rPr>
          <w:rFonts w:cs="Arial" w:ascii="Arial" w:hAnsi="Arial"/>
          <w:b w:val="false"/>
          <w:bCs w:val="false"/>
          <w:i w:val="false"/>
          <w:iCs w:val="false"/>
          <w:color w:val="000000"/>
          <w:sz w:val="20"/>
          <w:szCs w:val="20"/>
        </w:rPr>
        <w:t>Elemento de Despesa: 339039.41</w:t>
      </w:r>
    </w:p>
    <w:p>
      <w:pPr>
        <w:pStyle w:val="Normal"/>
        <w:spacing w:lineRule="auto" w:line="276" w:before="0" w:after="0"/>
        <w:jc w:val="both"/>
        <w:rPr/>
      </w:pPr>
      <w:r>
        <w:rPr>
          <w:rFonts w:cs="Arial" w:ascii="Arial" w:hAnsi="Arial"/>
          <w:i w:val="false"/>
          <w:iCs w:val="false"/>
          <w:color w:val="000000"/>
          <w:sz w:val="20"/>
          <w:szCs w:val="20"/>
        </w:rPr>
        <w:tab/>
        <w:tab/>
        <w:t>Plano Interno: B 403.01.1.0.2F1</w:t>
      </w:r>
    </w:p>
    <w:p>
      <w:pPr>
        <w:pStyle w:val="Normal"/>
        <w:spacing w:lineRule="auto" w:line="276" w:before="0" w:after="0"/>
        <w:jc w:val="both"/>
        <w:rPr>
          <w:rFonts w:ascii="Arial" w:hAnsi="Arial" w:cs="Arial"/>
          <w:bCs/>
          <w:color w:val="000000"/>
          <w:sz w:val="20"/>
          <w:szCs w:val="20"/>
        </w:rPr>
      </w:pPr>
      <w:r>
        <w:rPr>
          <w:rFonts w:cs="Arial" w:ascii="Arial" w:hAnsi="Arial"/>
          <w:bCs/>
          <w:color w:val="000000"/>
          <w:sz w:val="20"/>
          <w:szCs w:val="20"/>
        </w:rPr>
      </w:r>
    </w:p>
    <w:p>
      <w:pPr>
        <w:pStyle w:val="ListParagraph"/>
        <w:spacing w:lineRule="auto" w:line="276" w:before="0" w:after="0"/>
        <w:ind w:left="1152" w:hanging="0"/>
        <w:contextualSpacing/>
        <w:jc w:val="both"/>
        <w:rPr/>
      </w:pPr>
      <w:r>
        <w:rPr>
          <w:rFonts w:cs="Arial" w:ascii="Arial" w:hAnsi="Arial"/>
          <w:b/>
          <w:bCs/>
          <w:color w:val="000000"/>
          <w:sz w:val="20"/>
          <w:szCs w:val="20"/>
        </w:rPr>
        <w:t>10.3.</w:t>
      </w:r>
      <w:r>
        <w:rPr>
          <w:rFonts w:cs="Arial" w:ascii="Arial" w:hAnsi="Arial"/>
          <w:color w:val="000000"/>
          <w:sz w:val="20"/>
          <w:szCs w:val="20"/>
        </w:rPr>
        <w:tab/>
        <w:t>A dotação relativa aos exercícios financeiros subsequentes será indicada após aprovação da Lei Orçamentária respectiva e liberação dos créditos correspondentes, mediante apostilamento.</w:t>
      </w:r>
    </w:p>
    <w:p>
      <w:pPr>
        <w:pStyle w:val="ListParagraph"/>
        <w:spacing w:lineRule="auto" w:line="276" w:before="0" w:after="0"/>
        <w:ind w:left="1152" w:hanging="0"/>
        <w:contextualSpacing/>
        <w:jc w:val="both"/>
        <w:rPr>
          <w:rFonts w:ascii="Arial" w:hAnsi="Arial" w:cs="Arial"/>
          <w:color w:val="000000"/>
          <w:sz w:val="20"/>
          <w:szCs w:val="20"/>
        </w:rPr>
      </w:pPr>
      <w:r>
        <w:rPr>
          <w:rFonts w:cs="Arial" w:ascii="Arial" w:hAnsi="Arial"/>
          <w:color w:val="000000"/>
          <w:sz w:val="20"/>
          <w:szCs w:val="20"/>
        </w:rPr>
      </w:r>
    </w:p>
    <w:p>
      <w:pPr>
        <w:pStyle w:val="Normal"/>
        <w:spacing w:before="0" w:after="360"/>
        <w:ind w:left="360" w:hanging="0"/>
        <w:rPr/>
      </w:pPr>
      <w:r>
        <w:rPr>
          <w:rFonts w:cs="Arial" w:ascii="Arial" w:hAnsi="Arial"/>
          <w:b w:val="false"/>
          <w:bCs w:val="false"/>
          <w:i w:val="false"/>
          <w:iCs w:val="false"/>
          <w:color w:val="000000"/>
          <w:sz w:val="20"/>
          <w:szCs w:val="20"/>
        </w:rPr>
        <w:t>Natal</w:t>
      </w:r>
      <w:r>
        <w:rPr>
          <w:rFonts w:cs="Arial" w:ascii="Arial" w:hAnsi="Arial"/>
          <w:b w:val="false"/>
          <w:bCs w:val="false"/>
          <w:color w:val="000000"/>
          <w:sz w:val="20"/>
          <w:szCs w:val="20"/>
        </w:rPr>
        <w:t xml:space="preserve">, RN, _____de ___________ de 2023. </w:t>
      </w:r>
    </w:p>
    <w:p>
      <w:pPr>
        <w:pStyle w:val="Normal"/>
        <w:spacing w:before="0" w:after="360"/>
        <w:ind w:left="360" w:hanging="0"/>
        <w:rPr>
          <w:rFonts w:ascii="Arial" w:hAnsi="Arial"/>
          <w:sz w:val="20"/>
          <w:szCs w:val="20"/>
        </w:rPr>
      </w:pPr>
      <w:r>
        <w:rPr>
          <w:rFonts w:cs="Arial" w:ascii="Arial" w:hAnsi="Arial"/>
          <w:sz w:val="20"/>
          <w:szCs w:val="20"/>
        </w:rPr>
        <w:t>Elaborado por:</w:t>
      </w:r>
    </w:p>
    <w:p>
      <w:pPr>
        <w:pStyle w:val="Normal"/>
        <w:spacing w:before="0" w:after="0"/>
        <w:ind w:left="360" w:hanging="0"/>
        <w:jc w:val="center"/>
        <w:rPr>
          <w:rFonts w:ascii="Arial" w:hAnsi="Arial"/>
          <w:sz w:val="20"/>
          <w:szCs w:val="20"/>
        </w:rPr>
      </w:pPr>
      <w:r>
        <w:rPr>
          <w:rFonts w:cs="Arial" w:ascii="Arial" w:hAnsi="Arial"/>
          <w:sz w:val="16"/>
          <w:szCs w:val="16"/>
        </w:rPr>
        <w:t>__________________________________</w:t>
      </w:r>
    </w:p>
    <w:p>
      <w:pPr>
        <w:pStyle w:val="Normal"/>
        <w:spacing w:before="0" w:after="0"/>
        <w:ind w:left="360" w:hanging="0"/>
        <w:jc w:val="center"/>
        <w:rPr>
          <w:color w:val="000000"/>
        </w:rPr>
      </w:pPr>
      <w:r>
        <w:rPr>
          <w:rFonts w:cs="Arial" w:ascii="Arial" w:hAnsi="Arial"/>
          <w:color w:val="000000"/>
          <w:sz w:val="20"/>
          <w:szCs w:val="20"/>
        </w:rPr>
        <w:t>Laura Lucia Pimentel da Silva</w:t>
      </w:r>
    </w:p>
    <w:p>
      <w:pPr>
        <w:pStyle w:val="Normal"/>
        <w:spacing w:before="0" w:after="0"/>
        <w:ind w:left="360" w:hanging="0"/>
        <w:jc w:val="center"/>
        <w:rPr>
          <w:color w:val="000000"/>
        </w:rPr>
      </w:pPr>
      <w:r>
        <w:rPr>
          <w:rFonts w:cs="Arial" w:ascii="Arial" w:hAnsi="Arial"/>
          <w:color w:val="000000"/>
          <w:sz w:val="20"/>
          <w:szCs w:val="20"/>
        </w:rPr>
        <w:t>3ºSG-CL</w:t>
      </w:r>
    </w:p>
    <w:p>
      <w:pPr>
        <w:pStyle w:val="Normal"/>
        <w:spacing w:before="0" w:after="0"/>
        <w:ind w:left="360" w:hanging="0"/>
        <w:jc w:val="center"/>
        <w:rPr>
          <w:color w:val="000000"/>
        </w:rPr>
      </w:pPr>
      <w:r>
        <w:rPr>
          <w:rFonts w:cs="Arial" w:ascii="Arial" w:hAnsi="Arial"/>
          <w:color w:val="000000"/>
          <w:sz w:val="20"/>
          <w:szCs w:val="20"/>
        </w:rPr>
        <w:t>Supervisora da Execução Financeira do NAS</w:t>
      </w:r>
    </w:p>
    <w:p>
      <w:pPr>
        <w:pStyle w:val="Normal"/>
        <w:spacing w:before="0" w:after="360"/>
        <w:ind w:left="360" w:hanging="0"/>
        <w:rPr>
          <w:rFonts w:ascii="Arial" w:hAnsi="Arial"/>
          <w:sz w:val="20"/>
          <w:szCs w:val="20"/>
        </w:rPr>
      </w:pPr>
      <w:r>
        <w:rPr>
          <w:rFonts w:cs="Arial" w:ascii="Arial" w:hAnsi="Arial"/>
          <w:sz w:val="20"/>
          <w:szCs w:val="20"/>
        </w:rPr>
        <w:tab/>
        <w:tab/>
        <w:tab/>
      </w:r>
    </w:p>
    <w:p>
      <w:pPr>
        <w:pStyle w:val="Normal"/>
        <w:spacing w:before="0" w:after="0"/>
        <w:ind w:left="360" w:hanging="0"/>
        <w:jc w:val="center"/>
        <w:rPr>
          <w:rFonts w:ascii="Arial" w:hAnsi="Arial"/>
          <w:sz w:val="20"/>
          <w:szCs w:val="20"/>
        </w:rPr>
      </w:pPr>
      <w:r>
        <w:rPr>
          <w:rFonts w:ascii="Arial" w:hAnsi="Arial"/>
          <w:sz w:val="20"/>
          <w:szCs w:val="20"/>
        </w:rPr>
      </w:r>
    </w:p>
    <w:p>
      <w:pPr>
        <w:pStyle w:val="Normal"/>
        <w:spacing w:before="0" w:after="0"/>
        <w:ind w:left="360" w:hanging="0"/>
        <w:jc w:val="center"/>
        <w:rPr>
          <w:rFonts w:ascii="Arial" w:hAnsi="Arial"/>
          <w:sz w:val="20"/>
          <w:szCs w:val="20"/>
        </w:rPr>
      </w:pPr>
      <w:r>
        <w:rPr>
          <w:rFonts w:ascii="Arial" w:hAnsi="Arial"/>
          <w:sz w:val="20"/>
          <w:szCs w:val="20"/>
        </w:rPr>
      </w:r>
    </w:p>
    <w:p>
      <w:pPr>
        <w:pStyle w:val="Normal"/>
        <w:spacing w:before="0" w:after="0"/>
        <w:ind w:left="360" w:hanging="0"/>
        <w:jc w:val="center"/>
        <w:rPr>
          <w:rFonts w:ascii="Arial" w:hAnsi="Arial"/>
          <w:sz w:val="20"/>
          <w:szCs w:val="20"/>
        </w:rPr>
      </w:pPr>
      <w:r>
        <w:rPr>
          <w:rFonts w:cs="Arial" w:ascii="Arial" w:hAnsi="Arial"/>
          <w:sz w:val="20"/>
          <w:szCs w:val="20"/>
        </w:rPr>
        <w:t>__________________________________</w:t>
      </w:r>
    </w:p>
    <w:p>
      <w:pPr>
        <w:pStyle w:val="Normal"/>
        <w:spacing w:before="0" w:after="0"/>
        <w:jc w:val="center"/>
        <w:rPr>
          <w:rFonts w:ascii="Arial" w:hAnsi="Arial"/>
          <w:color w:val="000000" w:themeShade="bf"/>
          <w:sz w:val="20"/>
          <w:szCs w:val="20"/>
        </w:rPr>
      </w:pPr>
      <w:r>
        <w:rPr>
          <w:rFonts w:ascii="Arial" w:hAnsi="Arial"/>
          <w:color w:val="000000" w:themeShade="bf"/>
          <w:sz w:val="20"/>
          <w:szCs w:val="20"/>
        </w:rPr>
        <w:t>Márcia Regina Sodré da Silva Melo</w:t>
      </w:r>
    </w:p>
    <w:p>
      <w:pPr>
        <w:pStyle w:val="Normal"/>
        <w:spacing w:before="0" w:after="0"/>
        <w:jc w:val="center"/>
        <w:rPr/>
      </w:pPr>
      <w:r>
        <w:rPr>
          <w:rFonts w:cs="Arial" w:ascii="Arial" w:hAnsi="Arial"/>
          <w:color w:val="000000" w:themeShade="bf"/>
          <w:sz w:val="20"/>
          <w:szCs w:val="20"/>
        </w:rPr>
        <w:t>3ºSG-CL</w:t>
      </w:r>
    </w:p>
    <w:p>
      <w:pPr>
        <w:pStyle w:val="Normal"/>
        <w:spacing w:before="0" w:after="0"/>
        <w:ind w:left="360" w:hanging="0"/>
        <w:jc w:val="center"/>
        <w:rPr>
          <w:color w:val="000000"/>
        </w:rPr>
      </w:pPr>
      <w:r>
        <w:rPr>
          <w:rFonts w:cs="Arial" w:ascii="Arial" w:hAnsi="Arial"/>
          <w:color w:val="000000" w:themeShade="bf"/>
          <w:sz w:val="20"/>
          <w:szCs w:val="20"/>
        </w:rPr>
        <w:t>Ajudante da Seção de Aquisições</w:t>
      </w:r>
    </w:p>
    <w:p>
      <w:pPr>
        <w:pStyle w:val="Normal"/>
        <w:spacing w:before="0" w:after="0"/>
        <w:ind w:left="360" w:hanging="0"/>
        <w:jc w:val="center"/>
        <w:rPr>
          <w:rFonts w:cs="Arial"/>
          <w:color w:val="538135" w:themeColor="accent6" w:themeShade="bf"/>
          <w:sz w:val="16"/>
          <w:szCs w:val="16"/>
        </w:rPr>
      </w:pPr>
      <w:r>
        <w:rPr>
          <w:rFonts w:cs="Arial"/>
          <w:color w:val="538135" w:themeColor="accent6" w:themeShade="bf"/>
          <w:sz w:val="16"/>
          <w:szCs w:val="16"/>
        </w:rPr>
      </w:r>
    </w:p>
    <w:p>
      <w:pPr>
        <w:pStyle w:val="Normal"/>
        <w:spacing w:before="0" w:after="0"/>
        <w:ind w:left="360" w:hanging="0"/>
        <w:jc w:val="center"/>
        <w:rPr>
          <w:rFonts w:cs="Arial"/>
          <w:szCs w:val="20"/>
        </w:rPr>
      </w:pPr>
      <w:r>
        <w:rPr>
          <w:rFonts w:cs="Arial"/>
          <w:szCs w:val="20"/>
        </w:rPr>
      </w:r>
    </w:p>
    <w:p>
      <w:pPr>
        <w:pStyle w:val="Normal"/>
        <w:spacing w:before="0" w:after="360"/>
        <w:ind w:left="360" w:hanging="0"/>
        <w:rPr/>
      </w:pPr>
      <w:r>
        <w:rPr>
          <w:rFonts w:cs="Arial" w:ascii="Arial" w:hAnsi="Arial"/>
          <w:sz w:val="20"/>
          <w:szCs w:val="20"/>
        </w:rPr>
        <w:t>Aprovado por:</w:t>
      </w:r>
    </w:p>
    <w:p>
      <w:pPr>
        <w:pStyle w:val="Normal"/>
        <w:spacing w:before="0" w:after="0"/>
        <w:ind w:hanging="0"/>
        <w:jc w:val="center"/>
        <w:rPr/>
      </w:pPr>
      <w:r>
        <w:rPr>
          <w:rFonts w:cs="Arial" w:ascii="Arial" w:hAnsi="Arial"/>
          <w:color w:val="538135" w:themeColor="accent6" w:themeShade="bf"/>
          <w:sz w:val="20"/>
          <w:szCs w:val="20"/>
        </w:rPr>
        <w:t>__________________________________</w:t>
      </w:r>
    </w:p>
    <w:p>
      <w:pPr>
        <w:pStyle w:val="Normal"/>
        <w:spacing w:lineRule="auto" w:line="276" w:before="0" w:after="0"/>
        <w:ind w:hanging="0"/>
        <w:jc w:val="center"/>
        <w:rPr>
          <w:rFonts w:ascii="Arial" w:hAnsi="Arial"/>
          <w:sz w:val="20"/>
          <w:szCs w:val="20"/>
        </w:rPr>
      </w:pPr>
      <w:r>
        <w:rPr>
          <w:rFonts w:cs="Arial" w:ascii="Arial" w:hAnsi="Arial"/>
          <w:iCs/>
          <w:color w:val="00000A"/>
          <w:sz w:val="20"/>
          <w:szCs w:val="20"/>
        </w:rPr>
        <w:t>JOSÉ ROBERTO MOURA DE SOUZA</w:t>
      </w:r>
    </w:p>
    <w:p>
      <w:pPr>
        <w:pStyle w:val="Normal"/>
        <w:spacing w:lineRule="auto" w:line="276" w:before="0" w:after="0"/>
        <w:ind w:hanging="0"/>
        <w:jc w:val="center"/>
        <w:rPr>
          <w:rFonts w:ascii="Arial" w:hAnsi="Arial"/>
          <w:sz w:val="20"/>
          <w:szCs w:val="20"/>
        </w:rPr>
      </w:pPr>
      <w:r>
        <w:rPr>
          <w:rFonts w:cs="Arial" w:ascii="Arial" w:hAnsi="Arial"/>
          <w:iCs/>
          <w:color w:val="00000A"/>
          <w:sz w:val="20"/>
          <w:szCs w:val="20"/>
        </w:rPr>
        <w:t>Capitão de Mar e Guerra</w:t>
      </w:r>
    </w:p>
    <w:p>
      <w:pPr>
        <w:pStyle w:val="Normal"/>
        <w:spacing w:lineRule="auto" w:line="276" w:before="0" w:after="0"/>
        <w:ind w:hanging="0"/>
        <w:jc w:val="center"/>
        <w:rPr>
          <w:rFonts w:ascii="Arial" w:hAnsi="Arial"/>
          <w:sz w:val="20"/>
          <w:szCs w:val="20"/>
        </w:rPr>
      </w:pPr>
      <w:r>
        <w:rPr>
          <w:rFonts w:cs="Arial" w:ascii="Arial" w:hAnsi="Arial"/>
          <w:iCs/>
          <w:color w:val="00000A"/>
          <w:sz w:val="20"/>
          <w:szCs w:val="20"/>
        </w:rPr>
        <w:t>CPF: 472.130.433-15</w:t>
      </w:r>
    </w:p>
    <w:p>
      <w:pPr>
        <w:pStyle w:val="Normal"/>
        <w:spacing w:lineRule="auto" w:line="276" w:before="0" w:after="46"/>
        <w:ind w:hanging="0"/>
        <w:jc w:val="center"/>
        <w:rPr>
          <w:rFonts w:ascii="Arial" w:hAnsi="Arial" w:cs="Arial"/>
          <w:color w:val="000000"/>
          <w:sz w:val="16"/>
          <w:szCs w:val="16"/>
        </w:rPr>
      </w:pPr>
      <w:bookmarkStart w:id="2" w:name="_Hlk824735501"/>
      <w:bookmarkEnd w:id="2"/>
      <w:r>
        <w:rPr>
          <w:rFonts w:cs="Arial" w:ascii="Arial" w:hAnsi="Arial"/>
          <w:iCs/>
          <w:color w:val="00000A"/>
          <w:sz w:val="20"/>
          <w:szCs w:val="20"/>
        </w:rPr>
        <w:t>Ordenador de Despesa</w:t>
      </w:r>
    </w:p>
    <w:sectPr>
      <w:footerReference w:type="default" r:id="rId9"/>
      <w:type w:val="nextPage"/>
      <w:pgSz w:w="11906" w:h="16838"/>
      <w:pgMar w:left="1701" w:right="1134" w:header="0" w:top="1701"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Serviços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lvlOverride w:ilvl="1">
      <w:startOverride w:val="1"/>
    </w:lvlOverride>
  </w:num>
  <w:num w:numId="15">
    <w:abstractNumId w:val="2"/>
    <w:lvlOverride w:ilvl="1">
      <w:startOverride w:val="1"/>
    </w:lvlOverride>
  </w:num>
  <w:num w:numId="16">
    <w:abstractNumId w:val="2"/>
    <w:lvlOverride w:ilvl="1">
      <w:startOverride w:val="1"/>
    </w:lvlOverride>
  </w:num>
  <w:num w:numId="17">
    <w:abstractNumId w:val="2"/>
  </w:num>
  <w:num w:numId="18">
    <w:abstractNumId w:val="2"/>
  </w:num>
  <w:num w:numId="19">
    <w:abstractNumId w:val="2"/>
  </w:num>
  <w:num w:numId="20">
    <w:abstractNumId w:val="2"/>
  </w:num>
  <w:num w:numId="21">
    <w:abstractNumId w:val="2"/>
    <w:lvlOverride w:ilvl="1">
      <w:startOverride w:val="1"/>
    </w:lvlOverride>
  </w:num>
  <w:num w:numId="22">
    <w:abstractNumId w:val="2"/>
  </w:num>
  <w:num w:numId="23">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Quote"/>
    <w:uiPriority w:val="29"/>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Annotationtext"/>
    <w:uiPriority w:val="99"/>
    <w:qFormat/>
    <w:rsid w:val="00843661"/>
    <w:rPr>
      <w:sz w:val="20"/>
      <w:szCs w:val="20"/>
    </w:rPr>
  </w:style>
  <w:style w:type="character" w:styleId="AssuntodocomentrioChar" w:customStyle="1">
    <w:name w:val="Assunto do comentário Char"/>
    <w:basedOn w:val="TextodecomentrioChar"/>
    <w:link w:val="Annotationsubject"/>
    <w:uiPriority w:val="99"/>
    <w:semiHidden/>
    <w:qFormat/>
    <w:rsid w:val="00843661"/>
    <w:rPr>
      <w:b/>
      <w:bCs/>
      <w:sz w:val="20"/>
      <w:szCs w:val="20"/>
    </w:rPr>
  </w:style>
  <w:style w:type="character" w:styleId="Ttulo6Char" w:customStyle="1">
    <w:name w:val="Título 6 Char"/>
    <w:basedOn w:val="DefaultParagraphFont"/>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Link da internet visitado"/>
    <w:basedOn w:val="DefaultParagraphFont"/>
    <w:uiPriority w:val="99"/>
    <w:semiHidden/>
    <w:unhideWhenUsed/>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BalloonText"/>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uiPriority w:val="99"/>
    <w:qFormat/>
    <w:rsid w:val="0073140b"/>
    <w:rPr/>
  </w:style>
  <w:style w:type="character" w:styleId="RodapChar" w:customStyle="1">
    <w:name w:val="Rodapé Char"/>
    <w:basedOn w:val="DefaultParagraphFont"/>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Ttulo3Char" w:customStyle="1">
    <w:name w:val="Título 3 Char"/>
    <w:basedOn w:val="DefaultParagraphFont"/>
    <w:uiPriority w:val="9"/>
    <w:semiHidden/>
    <w:qFormat/>
    <w:rsid w:val="00902b3f"/>
    <w:rPr>
      <w:rFonts w:ascii="Calibri Light" w:hAnsi="Calibri Light" w:eastAsia="" w:cs="" w:asciiTheme="majorHAnsi" w:cstheme="majorBidi" w:eastAsiaTheme="majorEastAsia" w:hAnsiTheme="majorHAnsi"/>
      <w:color w:val="1F3763" w:themeColor="accent1" w:themeShade="7f"/>
      <w:sz w:val="24"/>
      <w:szCs w:val="24"/>
    </w:rPr>
  </w:style>
  <w:style w:type="character" w:styleId="MenoPendente4" w:customStyle="1">
    <w:name w:val="Menção Pendente4"/>
    <w:basedOn w:val="DefaultParagraphFont"/>
    <w:uiPriority w:val="99"/>
    <w:semiHidden/>
    <w:unhideWhenUsed/>
    <w:qFormat/>
    <w:rsid w:val="00094642"/>
    <w:rPr>
      <w:color w:val="605E5C"/>
      <w:shd w:fill="E1DFDD" w:val="clear"/>
    </w:rPr>
  </w:style>
  <w:style w:type="character" w:styleId="Nvel2OpcionalChar" w:customStyle="1">
    <w:name w:val="Nível 2 Opcional Char"/>
    <w:basedOn w:val="DefaultParagraphFont"/>
    <w:link w:val="Nvel2Opcional"/>
    <w:qFormat/>
    <w:locked/>
    <w:rsid w:val="00f16961"/>
    <w:rPr>
      <w:rFonts w:ascii="Arial" w:hAnsi="Arial" w:eastAsia="Times New Roman" w:cs="Arial"/>
      <w:i/>
      <w:color w:val="FF0000"/>
      <w:sz w:val="20"/>
      <w:szCs w:val="20"/>
      <w:lang w:eastAsia="pt-BR"/>
    </w:rPr>
  </w:style>
  <w:style w:type="character" w:styleId="Smbolosdenumerao">
    <w:name w:val="Símbolos de numeração"/>
    <w:qFormat/>
    <w:rPr/>
  </w:style>
  <w:style w:type="character" w:styleId="Fontepargpadro">
    <w:name w:val="Fonte parág. padrão"/>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auto"/>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20"/>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20"/>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20"/>
        <w:tab w:val="center" w:pos="4252" w:leader="none"/>
        <w:tab w:val="right" w:pos="8504" w:leader="none"/>
      </w:tabs>
      <w:spacing w:lineRule="auto" w:line="240" w:before="0" w:after="0"/>
    </w:pPr>
    <w:rPr/>
  </w:style>
  <w:style w:type="paragraph" w:styleId="Revision">
    <w:name w:val="Revision"/>
    <w:uiPriority w:val="99"/>
    <w:semiHidden/>
    <w:qFormat/>
    <w:rsid w:val="004b3f90"/>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Nvel2Opcional" w:customStyle="1">
    <w:name w:val="Nível 2 Opcional"/>
    <w:basedOn w:val="Normal"/>
    <w:link w:val="Nvel2OpcionalChar"/>
    <w:qFormat/>
    <w:rsid w:val="00f16961"/>
    <w:pPr>
      <w:spacing w:lineRule="auto" w:line="276" w:before="120" w:after="120"/>
      <w:ind w:left="432" w:hanging="432"/>
      <w:jc w:val="both"/>
    </w:pPr>
    <w:rPr>
      <w:rFonts w:ascii="Arial" w:hAnsi="Arial" w:eastAsia="Times New Roman" w:cs="Arial"/>
      <w:i/>
      <w:color w:val="FF0000"/>
      <w:sz w:val="20"/>
      <w:szCs w:val="20"/>
      <w:lang w:eastAsia="pt-BR"/>
    </w:rPr>
  </w:style>
  <w:style w:type="paragraph" w:styleId="Nvel3Opcional" w:customStyle="1">
    <w:name w:val="Nível 3 Opcional"/>
    <w:basedOn w:val="Normal"/>
    <w:qFormat/>
    <w:rsid w:val="00f16961"/>
    <w:pPr>
      <w:spacing w:lineRule="auto" w:line="276" w:before="120" w:after="120"/>
      <w:ind w:left="1072" w:hanging="504"/>
      <w:jc w:val="both"/>
    </w:pPr>
    <w:rPr>
      <w:rFonts w:ascii="Arial" w:hAnsi="Arial" w:eastAsia="Times New Roman" w:cs="Arial"/>
      <w:i/>
      <w:iCs/>
      <w:color w:val="FF0000"/>
      <w:sz w:val="20"/>
      <w:szCs w:val="20"/>
      <w:lang w:eastAsia="pt-B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hyperlink" Target="http://www.portaldatransparencia.gov.br/ceis" TargetMode="External"/><Relationship Id="rId7" Type="http://schemas.openxmlformats.org/officeDocument/2006/relationships/hyperlink" Target="https://www.portaltransparencia.gov.br/sancoes/cnep" TargetMode="External"/><Relationship Id="rId8" Type="http://schemas.openxmlformats.org/officeDocument/2006/relationships/hyperlink" Target="http://www.portaldoempreendedor.gov.br/" TargetMode="Externa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A4552DA9-F1A9-4CE0-B317-5CD21DAB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Application>LibreOffice/6.4.7.2$Linux_X86_64 LibreOffice_project/40$Build-2</Application>
  <Pages>10</Pages>
  <Words>4336</Words>
  <Characters>25052</Characters>
  <CharactersWithSpaces>29486</CharactersWithSpaces>
  <Paragraphs>197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2022-07-14T22:07:00Z</dcterms:created>
  <dc:creator>Marcela Ali Tarif</dc:creator>
  <dc:description/>
  <dc:language>pt-BR</dc:language>
  <cp:lastModifiedBy/>
  <dcterms:modified xsi:type="dcterms:W3CDTF">2023-08-18T13:45:13Z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ies>
</file>